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第八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2025年9月6日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keepNext w:val="0"/>
        <w:keepLines w:val="0"/>
        <w:widowControl/>
        <w:suppressLineNumbers w:val="0"/>
        <w:jc w:val="center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rPr>
          <w:rFonts w:ascii="方正小标宋简体" w:hAnsi="方正小标宋简体" w:eastAsia="方正小标宋简体" w:cs="方正小标宋简体"/>
          <w:spacing w:val="0"/>
          <w:kern w:val="0"/>
          <w:sz w:val="44"/>
          <w:szCs w:val="44"/>
        </w:rPr>
        <w:t>丽江西促会赴</w:t>
      </w:r>
      <w:r>
        <w:rPr>
          <w:rFonts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/>
        </w:rPr>
        <w:t>德鼎农业助力生态农业与乡村融合发展考察调研工作简报</w:t>
      </w:r>
      <mc:AlternateContent>
        <mc:Choice Requires="wpsCustomData">
          <wpsCustomData:docfieldEnd id="0"/>
        </mc:Choice>
      </mc:AlternateContent>
    </w:p>
    <w:p w14:paraId="4C5E1C89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为深挖生态农业产业潜力，推动农业与旅游融合及乡村振兴衔接，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月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日，丽江中国西部研究发展促进会会长杨建福一行，赴德鼎农业开展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调研。</w:t>
      </w:r>
    </w:p>
    <w:p w14:paraId="79DD43E0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3081020</wp:posOffset>
            </wp:positionH>
            <wp:positionV relativeFrom="paragraph">
              <wp:posOffset>998220</wp:posOffset>
            </wp:positionV>
            <wp:extent cx="3170555" cy="1783715"/>
            <wp:effectExtent l="0" t="0" r="4445" b="6985"/>
            <wp:wrapTight wrapText="bothSides">
              <wp:wrapPolygon>
                <wp:start x="0" y="0"/>
                <wp:lineTo x="0" y="21377"/>
                <wp:lineTo x="21544" y="21377"/>
                <wp:lineTo x="21544" y="0"/>
                <wp:lineTo x="0" y="0"/>
              </wp:wrapPolygon>
            </wp:wrapTight>
            <wp:docPr id="2" name="图片 2" descr="静帧 2025-09-11 152345_2.2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静帧 2025-09-11 152345_2.23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0555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-229870</wp:posOffset>
            </wp:positionH>
            <wp:positionV relativeFrom="paragraph">
              <wp:posOffset>1003300</wp:posOffset>
            </wp:positionV>
            <wp:extent cx="3091180" cy="1792605"/>
            <wp:effectExtent l="0" t="0" r="7620" b="10795"/>
            <wp:wrapTight wrapText="bothSides">
              <wp:wrapPolygon>
                <wp:start x="0" y="0"/>
                <wp:lineTo x="0" y="21424"/>
                <wp:lineTo x="21476" y="21424"/>
                <wp:lineTo x="21476" y="0"/>
                <wp:lineTo x="0" y="0"/>
              </wp:wrapPolygon>
            </wp:wrapTight>
            <wp:docPr id="1" name="图片 1" descr="静帧 2025-09-11 152345_1.6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静帧 2025-09-11 152345_1.6.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118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调研组在公司法定代表人熊继军的陪同下，实地察看苹果种植区及中药材种植区域，详细了解有机种植模式、养殖环保技术应用及生产管理流程。重点关注到，企业坚守绿色发展理念，通过科学种植养殖技术保障产品品质，构建可持续的生态农业体系。</w:t>
      </w:r>
    </w:p>
    <w:p w14:paraId="2559DA7B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3302635</wp:posOffset>
            </wp:positionH>
            <wp:positionV relativeFrom="paragraph">
              <wp:posOffset>943610</wp:posOffset>
            </wp:positionV>
            <wp:extent cx="3035300" cy="1707515"/>
            <wp:effectExtent l="0" t="0" r="0" b="0"/>
            <wp:wrapTight wrapText="bothSides">
              <wp:wrapPolygon>
                <wp:start x="0" y="0"/>
                <wp:lineTo x="0" y="21367"/>
                <wp:lineTo x="21510" y="21367"/>
                <wp:lineTo x="21510" y="0"/>
                <wp:lineTo x="0" y="0"/>
              </wp:wrapPolygon>
            </wp:wrapTight>
            <wp:docPr id="3" name="图片 3" descr="静帧 2025-09-11 152345_1.2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静帧 2025-09-11 152345_1.20.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随后的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交谈中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，熊继军介绍了企业发展历程、核心业务布局，包括特色种植、生态养殖及乡村旅游开发规划，以及带动当地农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inline distT="0" distB="0" distL="114300" distR="114300">
            <wp:extent cx="3028315" cy="1703070"/>
            <wp:effectExtent l="0" t="0" r="6985" b="11430"/>
            <wp:docPr id="4" name="图片 4" descr="静帧 2025-09-11 152345_1.38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静帧 2025-09-11 152345_1.38.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户增收的相关举措。调研组对企业深耕生态农业、践行社会责任的做法给予肯定，围绕品牌打造、产业融合、市场拓展等方面提出建议，表示西促会将整合资源提供支持，助力企业扩大产业影响力。</w:t>
      </w:r>
    </w:p>
    <w:p w14:paraId="5793CECD">
      <w:pPr>
        <w:spacing w:before="120" w:after="120" w:line="288" w:lineRule="auto"/>
        <w:ind w:left="0" w:firstLine="616" w:firstLineChars="200"/>
        <w:jc w:val="left"/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t>此次调研为西促会精准服务农业企业奠定基础。下一步，西促会将持续跟踪企业需求，深化沟通协作，助力德鼎农业做强生态农业品牌，推动农业与旅游深度融合，为乡村振兴注入持续动力。</w:t>
      </w:r>
    </w:p>
    <w:p w14:paraId="4A7C65DB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CA68F2E1-A34D-49A3-9A9E-BF30B38779C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101A6A7-3508-4952-BAB9-E2871C2C6E5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4D6A9B"/>
    <w:rsid w:val="04E0470D"/>
    <w:rsid w:val="06E77061"/>
    <w:rsid w:val="10C04E65"/>
    <w:rsid w:val="11B758CF"/>
    <w:rsid w:val="13DA044B"/>
    <w:rsid w:val="141E2B33"/>
    <w:rsid w:val="1C222AC8"/>
    <w:rsid w:val="1CD42F39"/>
    <w:rsid w:val="1D7238DD"/>
    <w:rsid w:val="1FE75A3B"/>
    <w:rsid w:val="22552756"/>
    <w:rsid w:val="22B9215A"/>
    <w:rsid w:val="22DC015F"/>
    <w:rsid w:val="2442694E"/>
    <w:rsid w:val="27100386"/>
    <w:rsid w:val="2C7A0008"/>
    <w:rsid w:val="30D30BA7"/>
    <w:rsid w:val="310D4EE4"/>
    <w:rsid w:val="399F76B9"/>
    <w:rsid w:val="3D166A6D"/>
    <w:rsid w:val="3E5B195E"/>
    <w:rsid w:val="3ED724C7"/>
    <w:rsid w:val="3F5076C7"/>
    <w:rsid w:val="42EA371E"/>
    <w:rsid w:val="47C27346"/>
    <w:rsid w:val="49C87404"/>
    <w:rsid w:val="4C5B7DD5"/>
    <w:rsid w:val="53187BE9"/>
    <w:rsid w:val="592F4560"/>
    <w:rsid w:val="60056797"/>
    <w:rsid w:val="608A69F1"/>
    <w:rsid w:val="62D1432C"/>
    <w:rsid w:val="642E3827"/>
    <w:rsid w:val="67501EF4"/>
    <w:rsid w:val="676C4D9F"/>
    <w:rsid w:val="6F6A2888"/>
    <w:rsid w:val="702F26D8"/>
    <w:rsid w:val="715719D0"/>
    <w:rsid w:val="7251114D"/>
    <w:rsid w:val="75A61835"/>
    <w:rsid w:val="784F3EEE"/>
    <w:rsid w:val="7E80335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472</Characters>
  <Lines>0</Lines>
  <Paragraphs>0</Paragraphs>
  <TotalTime>7</TotalTime>
  <ScaleCrop>false</ScaleCrop>
  <LinksUpToDate>false</LinksUpToDate>
  <CharactersWithSpaces>534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CEF54E0EDBBA4F29B30FFC0E475BBD84_13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