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924DF">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7D93DA42">
      <w:pPr>
        <w:spacing w:line="240" w:lineRule="auto"/>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AC37847">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第十</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1A1598A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2025年9月11日</w:t>
      </w:r>
    </w:p>
    <w:p w14:paraId="7F22327C">
      <w:pPr>
        <w:jc w:val="distribute"/>
      </w:pPr>
      <w:r>
        <mc:AlternateContent>
          <mc:Choice Requires="wps">
            <w:drawing>
              <wp:anchor distT="0" distB="0" distL="114300" distR="114300" simplePos="0" relativeHeight="251660288" behindDoc="0" locked="0" layoutInCell="1" allowOverlap="1">
                <wp:simplePos x="0" y="0"/>
                <wp:positionH relativeFrom="column">
                  <wp:posOffset>-447040</wp:posOffset>
                </wp:positionH>
                <wp:positionV relativeFrom="paragraph">
                  <wp:posOffset>9525</wp:posOffset>
                </wp:positionV>
                <wp:extent cx="6190615" cy="0"/>
                <wp:effectExtent l="0" t="13970" r="6985" b="2413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60288;mso-width-relative:page;mso-height-relative:page;" filled="f" stroked="t" coordsize="21600,21600" o:gfxdata="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zq1KF1AAAAAcBAAAPAAAAAAAAAAEA&#10;IAAAACIAAABkcnMvZG93bnJldi54bWxQSwECFAAUAAAACACHTuJA7y2E+toBAACbAwAADgAAAAAA&#10;AAABACAAAAAjAQAAZHJzL2Uyb0RvYy54bWxQSwUGAAAAAAYABgBZAQAAbwUAAAAA&#10;">
                <v:fill on="f" focussize="0,0"/>
                <v:stroke weight="2.25pt" color="#FF0000 [3204]" joinstyle="round"/>
                <v:imagedata o:title=""/>
                <o:lock v:ext="edit" aspectratio="f"/>
              </v:line>
            </w:pict>
          </mc:Fallback>
        </mc:AlternateContent>
      </w:r>
    </w:p>
    <w:p w14:paraId="75F2A377">
      <w:pPr>
        <w:pStyle w:val="15"/>
        <w:rPr>
          <w:rFonts w:hint="default"/>
          <w:lang w:val="en-US" w:eastAsia="zh-CN"/>
        </w:rPr>
      </w:pPr>
      <mc:AlternateContent>
        <mc:Choice Requires="wpsCustomData">
          <wpsCustomData:docfieldStart id="0" docfieldname="标题_1" hidden="0" print="1" readonly="0" index="9"/>
        </mc:Choice>
      </mc:AlternateContent>
      <w:r>
        <w:t>丽江西促会</w:t>
      </w:r>
      <w:r>
        <w:rPr>
          <w:rFonts w:hint="eastAsia"/>
          <w:lang w:val="en-US" w:eastAsia="zh-CN"/>
        </w:rPr>
        <w:t>牵头</w:t>
      </w:r>
      <w:r>
        <w:rPr>
          <w:rFonts w:hint="default"/>
        </w:rPr>
        <w:t>开展</w:t>
      </w:r>
      <w:r>
        <w:rPr>
          <w:rFonts w:hint="eastAsia"/>
          <w:lang w:val="en-US" w:eastAsia="zh-CN"/>
        </w:rPr>
        <w:t>永胜综合养老服务中心</w:t>
      </w:r>
      <w:r>
        <w:rPr>
          <w:rFonts w:hint="default"/>
          <w:lang w:val="en-US" w:eastAsia="zh-CN"/>
        </w:rPr>
        <w:t>项目招商洽谈会</w:t>
      </w:r>
    </w:p>
    <w:p w14:paraId="10F37788">
      <w:pPr>
        <w:spacing w:before="120" w:after="120" w:line="288" w:lineRule="auto"/>
        <w:ind w:left="0" w:firstLine="616" w:firstLineChars="200"/>
        <w:jc w:val="left"/>
        <w:rPr>
          <w:rFonts w:hint="default" w:ascii="仿宋_GB2312" w:hAnsi="仿宋_GB2312" w:eastAsia="仿宋_GB2312" w:cs="仿宋_GB2312"/>
          <w:spacing w:val="-6"/>
          <w:sz w:val="32"/>
          <w:szCs w:val="32"/>
          <w:lang w:val="en-US" w:eastAsia="zh-CN"/>
        </w:rPr>
      </w:pPr>
      <w:r>
        <w:rPr>
          <w:rFonts w:hint="default" w:ascii="仿宋_GB2312" w:hAnsi="仿宋_GB2312" w:eastAsia="仿宋_GB2312" w:cs="仿宋_GB2312"/>
          <w:spacing w:val="-6"/>
          <w:sz w:val="32"/>
          <w:szCs w:val="32"/>
          <w:lang w:val="en-US" w:eastAsia="zh-CN"/>
        </w:rPr>
        <w:t>为推动地方养老产业高质量发展，完善民生服务体系，</w:t>
      </w:r>
      <w:r>
        <w:rPr>
          <w:rFonts w:hint="eastAsia" w:cs="仿宋_GB2312"/>
          <w:spacing w:val="-6"/>
          <w:sz w:val="32"/>
          <w:szCs w:val="32"/>
          <w:lang w:val="en-US" w:eastAsia="zh-CN"/>
        </w:rPr>
        <w:t>2025年9月11日</w:t>
      </w:r>
      <w:r>
        <w:rPr>
          <w:rFonts w:hint="default" w:ascii="仿宋_GB2312" w:hAnsi="仿宋_GB2312" w:eastAsia="仿宋_GB2312" w:cs="仿宋_GB2312"/>
          <w:spacing w:val="-6"/>
          <w:sz w:val="32"/>
          <w:szCs w:val="32"/>
          <w:lang w:val="en-US" w:eastAsia="zh-CN"/>
        </w:rPr>
        <w:t>，由丽江中国西部研究发展促进会会长杨建福、常务副会长兼秘书长熊绍文联合主办的综合养老服务中心项目招商洽谈会顺利举行。意向投资企业代表及相关部门负责人参会，西促会充分发挥桥梁纽带作用，搭建政企对接平台。</w:t>
      </w:r>
    </w:p>
    <w:p w14:paraId="2A29B77F">
      <w:pPr>
        <w:spacing w:before="120" w:after="120" w:line="288" w:lineRule="auto"/>
        <w:ind w:left="0" w:firstLine="616" w:firstLineChars="200"/>
        <w:jc w:val="left"/>
        <w:rPr>
          <w:rFonts w:hint="default" w:ascii="仿宋_GB2312" w:hAnsi="仿宋_GB2312" w:eastAsia="仿宋_GB2312" w:cs="仿宋_GB2312"/>
          <w:spacing w:val="-6"/>
          <w:sz w:val="32"/>
          <w:szCs w:val="32"/>
          <w:lang w:val="en-US" w:eastAsia="zh-CN"/>
        </w:rPr>
      </w:pPr>
      <w:r>
        <w:rPr>
          <w:rFonts w:hint="default" w:ascii="仿宋_GB2312" w:hAnsi="仿宋_GB2312" w:eastAsia="仿宋_GB2312" w:cs="仿宋_GB2312"/>
          <w:spacing w:val="-6"/>
          <w:sz w:val="32"/>
          <w:szCs w:val="32"/>
          <w:lang w:val="en-US" w:eastAsia="zh-CN"/>
        </w:rPr>
        <w:t>洽谈会上，杨建福会长、熊绍文常务副会长兼秘书长共同介绍了当地养老服务需求、资源禀赋及产业发展优势，详细阐述了项目落地的政策支持与发展前景。意向投资企业代表围绕项目规划、运营模式、服务特色等方面进行交流，深入探讨合作可能性，双方就核心合作方向达成初步共识。</w:t>
      </w:r>
    </w:p>
    <w:p w14:paraId="2C44BDFD">
      <w:pPr>
        <w:spacing w:before="120" w:after="120" w:line="288" w:lineRule="auto"/>
        <w:jc w:val="left"/>
        <w:rPr>
          <w:rFonts w:hint="default" w:ascii="仿宋_GB2312" w:hAnsi="仿宋_GB2312" w:eastAsia="仿宋_GB2312" w:cs="仿宋_GB2312"/>
          <w:spacing w:val="-6"/>
          <w:sz w:val="32"/>
          <w:szCs w:val="32"/>
          <w:lang w:val="en-US" w:eastAsia="zh-CN"/>
        </w:rPr>
      </w:pPr>
      <w:r>
        <w:rPr>
          <w:rFonts w:hint="default" w:ascii="仿宋_GB2312" w:hAnsi="仿宋_GB2312" w:eastAsia="仿宋_GB2312" w:cs="仿宋_GB2312"/>
          <w:spacing w:val="-6"/>
          <w:sz w:val="32"/>
          <w:szCs w:val="32"/>
          <w:lang w:val="en-US" w:eastAsia="zh-CN"/>
        </w:rPr>
        <w:drawing>
          <wp:anchor distT="0" distB="0" distL="114300" distR="114300" simplePos="0" relativeHeight="251661312" behindDoc="1" locked="0" layoutInCell="1" allowOverlap="1">
            <wp:simplePos x="0" y="0"/>
            <wp:positionH relativeFrom="column">
              <wp:posOffset>0</wp:posOffset>
            </wp:positionH>
            <wp:positionV relativeFrom="paragraph">
              <wp:posOffset>1492885</wp:posOffset>
            </wp:positionV>
            <wp:extent cx="3089910" cy="1737995"/>
            <wp:effectExtent l="0" t="0" r="8890" b="1905"/>
            <wp:wrapTight wrapText="bothSides">
              <wp:wrapPolygon>
                <wp:start x="0" y="0"/>
                <wp:lineTo x="0" y="21466"/>
                <wp:lineTo x="21485" y="21466"/>
                <wp:lineTo x="21485" y="0"/>
                <wp:lineTo x="0" y="0"/>
              </wp:wrapPolygon>
            </wp:wrapTight>
            <wp:docPr id="3" name="图片 3" descr="1.1.1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1.1_1.1.1"/>
                    <pic:cNvPicPr>
                      <a:picLocks noChangeAspect="1"/>
                    </pic:cNvPicPr>
                  </pic:nvPicPr>
                  <pic:blipFill>
                    <a:blip r:embed="rId8"/>
                    <a:stretch>
                      <a:fillRect/>
                    </a:stretch>
                  </pic:blipFill>
                  <pic:spPr>
                    <a:xfrm>
                      <a:off x="0" y="0"/>
                      <a:ext cx="3089910" cy="1737995"/>
                    </a:xfrm>
                    <a:prstGeom prst="rect">
                      <a:avLst/>
                    </a:prstGeom>
                  </pic:spPr>
                </pic:pic>
              </a:graphicData>
            </a:graphic>
          </wp:anchor>
        </w:drawing>
      </w:r>
    </w:p>
    <w:p w14:paraId="457C0314">
      <w:pPr>
        <w:spacing w:before="120" w:after="120" w:line="288" w:lineRule="auto"/>
        <w:ind w:left="0" w:firstLine="616" w:firstLineChars="200"/>
        <w:jc w:val="left"/>
        <w:rPr>
          <w:rFonts w:hint="default" w:ascii="仿宋_GB2312" w:hAnsi="仿宋_GB2312" w:eastAsia="仿宋_GB2312" w:cs="仿宋_GB2312"/>
          <w:spacing w:val="-6"/>
          <w:sz w:val="32"/>
          <w:szCs w:val="32"/>
          <w:lang w:val="en-US" w:eastAsia="zh-CN"/>
        </w:rPr>
      </w:pPr>
      <w:r>
        <w:rPr>
          <w:rFonts w:hint="default" w:ascii="仿宋_GB2312" w:hAnsi="仿宋_GB2312" w:eastAsia="仿宋_GB2312" w:cs="仿宋_GB2312"/>
          <w:spacing w:val="-6"/>
          <w:sz w:val="32"/>
          <w:szCs w:val="32"/>
          <w:lang w:val="en-US" w:eastAsia="zh-CN"/>
        </w:rPr>
        <w:drawing>
          <wp:anchor distT="0" distB="0" distL="114300" distR="114300" simplePos="0" relativeHeight="251662336" behindDoc="1" locked="0" layoutInCell="1" allowOverlap="1">
            <wp:simplePos x="0" y="0"/>
            <wp:positionH relativeFrom="column">
              <wp:posOffset>3315970</wp:posOffset>
            </wp:positionH>
            <wp:positionV relativeFrom="paragraph">
              <wp:posOffset>979805</wp:posOffset>
            </wp:positionV>
            <wp:extent cx="3112770" cy="1750695"/>
            <wp:effectExtent l="0" t="0" r="0" b="0"/>
            <wp:wrapTight wrapText="bothSides">
              <wp:wrapPolygon>
                <wp:start x="0" y="0"/>
                <wp:lineTo x="0" y="21467"/>
                <wp:lineTo x="21503" y="21467"/>
                <wp:lineTo x="21503" y="0"/>
                <wp:lineTo x="0" y="0"/>
              </wp:wrapPolygon>
            </wp:wrapTight>
            <wp:docPr id="4" name="图片 4" descr="1.3.1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3.1_1.3.1"/>
                    <pic:cNvPicPr>
                      <a:picLocks noChangeAspect="1"/>
                    </pic:cNvPicPr>
                  </pic:nvPicPr>
                  <pic:blipFill>
                    <a:blip r:embed="rId9"/>
                    <a:stretch>
                      <a:fillRect/>
                    </a:stretch>
                  </pic:blipFill>
                  <pic:spPr>
                    <a:xfrm>
                      <a:off x="0" y="0"/>
                      <a:ext cx="3112770" cy="1750695"/>
                    </a:xfrm>
                    <a:prstGeom prst="rect">
                      <a:avLst/>
                    </a:prstGeom>
                  </pic:spPr>
                </pic:pic>
              </a:graphicData>
            </a:graphic>
          </wp:anchor>
        </w:drawing>
      </w:r>
      <w:r>
        <w:rPr>
          <w:rFonts w:hint="default" w:ascii="仿宋_GB2312" w:hAnsi="仿宋_GB2312" w:eastAsia="仿宋_GB2312" w:cs="仿宋_GB2312"/>
          <w:spacing w:val="-6"/>
          <w:sz w:val="32"/>
          <w:szCs w:val="32"/>
          <w:lang w:val="en-US" w:eastAsia="zh-CN"/>
        </w:rPr>
        <w:t>西促会对意向投资企业的合作意愿表示肯定，围绕项目合规运营、资源整合、服务优化等方面提出建议，明确将持续跟进对接，协助协调解决项目推进中的相关事宜。各参与方均表示，将以此次洽谈会为契机，深化沟通对接，推动项目早日落地见效。</w:t>
      </w:r>
    </w:p>
    <w:p w14:paraId="70DAB10E">
      <w:pPr>
        <w:spacing w:before="120" w:after="120" w:line="288" w:lineRule="auto"/>
        <w:ind w:left="0" w:firstLine="616" w:firstLineChars="200"/>
        <w:jc w:val="left"/>
        <w:rPr>
          <w:rFonts w:hint="default" w:ascii="仿宋_GB2312" w:hAnsi="仿宋_GB2312" w:eastAsia="仿宋_GB2312" w:cs="仿宋_GB2312"/>
          <w:spacing w:val="-6"/>
          <w:sz w:val="32"/>
          <w:szCs w:val="32"/>
          <w:lang w:val="en-US" w:eastAsia="zh-CN"/>
        </w:rPr>
      </w:pPr>
      <w:r>
        <w:rPr>
          <w:rFonts w:hint="default" w:ascii="仿宋_GB2312" w:hAnsi="仿宋_GB2312" w:eastAsia="仿宋_GB2312" w:cs="仿宋_GB2312"/>
          <w:spacing w:val="-6"/>
          <w:sz w:val="32"/>
          <w:szCs w:val="32"/>
          <w:lang w:val="en-US" w:eastAsia="zh-CN"/>
        </w:rPr>
        <w:t>此次招商洽谈会为养老产业项目合作搭建了高效平台。下一步，西促会将继续发挥牵线搭桥作用，细化服务举措，助力优质养老项目落地，为提升当地养老服务水平、增进民生福祉注入动力。</w:t>
      </w:r>
    </w:p>
    <mc:AlternateContent>
      <mc:Choice Requires="wpsCustomData">
        <wpsCustomData:docfieldEnd id="0"/>
      </mc:Choice>
    </mc:AlternateContent>
    <w:p w14:paraId="4A7C65DB">
      <w:pPr>
        <w:spacing w:before="120" w:after="120" w:line="288" w:lineRule="auto"/>
        <w:ind w:left="0" w:firstLine="616" w:firstLineChars="200"/>
        <w:jc w:val="left"/>
        <w:rPr>
          <w:rFonts w:hint="eastAsia" w:ascii="仿宋_GB2312" w:hAnsi="仿宋_GB2312" w:eastAsia="仿宋_GB2312" w:cs="仿宋_GB2312"/>
          <w:spacing w:val="-6"/>
          <w:sz w:val="32"/>
          <w:szCs w:val="32"/>
          <w:lang w:val="en-US" w:eastAsia="zh-CN"/>
        </w:rPr>
      </w:pPr>
    </w:p>
    <w:sectPr>
      <w:footerReference r:id="rId5" w:type="default"/>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embedRegular r:id="rId1" w:fontKey="{36DA706F-4AAA-443E-BA73-D48825165BCB}"/>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CFA3F">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B8CB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3/pUs3AgAAbQ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Cd/6VLNwIAAG0EAAAOAAAAAAAAAAEAIAAAACUBAABkcnMvZTJv&#10;RG9jLnhtbFBLBQYAAAAABgAGAFkBAADOBQAAAAA=&#10;">
              <v:fill on="f" focussize="0,0"/>
              <v:stroke on="f" weight="0.5pt"/>
              <v:imagedata o:title=""/>
              <o:lock v:ext="edit" aspectratio="f"/>
              <v:textbox inset="16pt,0mm,16pt,0mm" style="mso-fit-shape-to-text:t;">
                <w:txbxContent>
                  <w:p w14:paraId="257B8CB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EB66F">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6E3C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OJjO143AgAAbQ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DiYzteNwIAAG0EAAAOAAAAAAAAAAEAIAAAACUBAABkcnMvZTJv&#10;RG9jLnhtbFBLBQYAAAAABgAGAFkBAADOBQAAAAA=&#10;">
              <v:fill on="f" focussize="0,0"/>
              <v:stroke on="f" weight="0.5pt"/>
              <v:imagedata o:title=""/>
              <o:lock v:ext="edit" aspectratio="f"/>
              <v:textbox inset="16pt,0mm,16pt,0mm" style="mso-fit-shape-to-text:t;">
                <w:txbxContent>
                  <w:p w14:paraId="6B66E3C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04E0470D"/>
    <w:rsid w:val="06E77061"/>
    <w:rsid w:val="0AE90FC6"/>
    <w:rsid w:val="10C04E65"/>
    <w:rsid w:val="13DA044B"/>
    <w:rsid w:val="13F8068A"/>
    <w:rsid w:val="141E2B33"/>
    <w:rsid w:val="1C222AC8"/>
    <w:rsid w:val="1C513640"/>
    <w:rsid w:val="1D7238DD"/>
    <w:rsid w:val="1FE75A3B"/>
    <w:rsid w:val="22552756"/>
    <w:rsid w:val="22B9215A"/>
    <w:rsid w:val="22DC015F"/>
    <w:rsid w:val="2442694E"/>
    <w:rsid w:val="27100386"/>
    <w:rsid w:val="2C7A0008"/>
    <w:rsid w:val="30D30BA7"/>
    <w:rsid w:val="310D4EE4"/>
    <w:rsid w:val="315B2B1F"/>
    <w:rsid w:val="399F76B9"/>
    <w:rsid w:val="3D166A6D"/>
    <w:rsid w:val="3E5B195E"/>
    <w:rsid w:val="42EA371E"/>
    <w:rsid w:val="47C27346"/>
    <w:rsid w:val="49C87404"/>
    <w:rsid w:val="4C5B7DD5"/>
    <w:rsid w:val="53187BE9"/>
    <w:rsid w:val="577F46F2"/>
    <w:rsid w:val="62D1432C"/>
    <w:rsid w:val="642E3827"/>
    <w:rsid w:val="67501EF4"/>
    <w:rsid w:val="676C4D9F"/>
    <w:rsid w:val="6F6A2888"/>
    <w:rsid w:val="702F26D8"/>
    <w:rsid w:val="71416D5A"/>
    <w:rsid w:val="715719D0"/>
    <w:rsid w:val="75A61835"/>
    <w:rsid w:val="76AA53BF"/>
    <w:rsid w:val="784F3EEE"/>
    <w:rsid w:val="7F7B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仿宋_GB2312" w:hAnsi="仿宋_GB2312"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仿宋_GB2312" w:hAnsi="仿宋_GB2312"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仿宋_GB2312" w:hAnsi="仿宋_GB2312"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仿宋_GB2312" w:hAnsi="仿宋_GB2312"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仿宋_GB2312" w:hAnsi="仿宋_GB2312"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仿宋_GB2312" w:hAnsi="仿宋_GB2312"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方正小标宋简体" w:hAnsi="方正小标宋简体" w:eastAsia="方正小标宋简体" w:cs="方正小标宋简体"/>
      <w:kern w:val="28"/>
      <w:sz w:val="44"/>
      <w:szCs w:val="44"/>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511</Words>
  <Characters>519</Characters>
  <Lines>0</Lines>
  <Paragraphs>0</Paragraphs>
  <TotalTime>83</TotalTime>
  <ScaleCrop>false</ScaleCrop>
  <LinksUpToDate>false</LinksUpToDate>
  <CharactersWithSpaces>581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dcterms:modified xsi:type="dcterms:W3CDTF">2026-07-13T08:44:19Z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69ACF93A9FC2472B9766A2FEBA1B16A3_13</vt:lpwstr>
  </property>
  <property fmtid="{D5CDD505-2E9C-101B-9397-08002B2CF9AE}" pid="4" name="KSOTemplateDocerSaveRecord">
    <vt:lpwstr>eyJoZGlkIjoiNzNhZjFhODFkZWJjOGNlMTBhZDMxZDVkZWJmODc0ZTEiLCJ1c2VySWQiOiIxNDY0NjI4MTcwIn0=</vt:lpwstr>
  </property>
</Properties>
</file>