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924DF">
      <w:pPr>
        <w:jc w:val="distribute"/>
        <w:rPr>
          <w:rFonts w:hint="eastAsia" w:ascii="宋体" w:hAnsi="宋体" w:eastAsia="宋体" w:cs="宋体"/>
          <w:b/>
          <w:bCs/>
          <w:color w:val="FF0000"/>
          <w:spacing w:val="-23"/>
          <w:w w:val="80"/>
          <w:sz w:val="72"/>
          <w:szCs w:val="72"/>
          <w:lang w:val="en-US" w:eastAsia="zh-CN"/>
        </w:rPr>
      </w:pPr>
      <mc:AlternateContent>
        <mc:Choice Requires="wpsCustomData">
          <wpsCustomData:docfieldStart id="0" docfieldname="标题_1" hidden="0" print="1" readonly="0" index="1"/>
        </mc:Choice>
      </mc:AlternateContent>
      <w:r>
        <w:rPr>
          <w:rFonts w:hint="eastAsia" w:ascii="宋体" w:hAnsi="宋体" w:eastAsia="宋体" w:cs="宋体"/>
          <w:b/>
          <w:bCs/>
          <w:color w:val="FF0000"/>
          <w:spacing w:val="-23"/>
          <w:w w:val="80"/>
          <w:sz w:val="72"/>
          <w:szCs w:val="72"/>
          <w:lang w:val="en-US" w:eastAsia="zh-CN"/>
        </w:rPr>
        <w:t>丽江中国西部研究发展促进会</w:t>
      </w:r>
    </w:p>
    <w:p w14:paraId="7D93DA42">
      <w:pPr>
        <w:spacing w:line="240" w:lineRule="auto"/>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AC37847">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第六</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期</w:t>
      </w:r>
    </w:p>
    <w:p w14:paraId="1A1598A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 xml:space="preserve">丽江西促会办公室编                                                        </w:t>
      </w:r>
      <w:r>
        <mc:AlternateContent>
          <mc:Choice Requires="wps">
            <w:drawing>
              <wp:anchor distT="0" distB="0" distL="114300" distR="114300" simplePos="0" relativeHeight="251662336" behindDoc="0" locked="0" layoutInCell="1" allowOverlap="1">
                <wp:simplePos x="0" y="0"/>
                <wp:positionH relativeFrom="column">
                  <wp:posOffset>-447040</wp:posOffset>
                </wp:positionH>
                <wp:positionV relativeFrom="paragraph">
                  <wp:posOffset>422275</wp:posOffset>
                </wp:positionV>
                <wp:extent cx="6190615" cy="0"/>
                <wp:effectExtent l="0" t="13970" r="6985" b="24130"/>
                <wp:wrapNone/>
                <wp:docPr id="8" name="直接连接符 8"/>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33.25pt;height:0pt;width:487.45pt;z-index:251662336;mso-width-relative:page;mso-height-relative:page;" filled="f" stroked="t" coordsize="21600,21600" o:gfxdata="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bazbNcAAAAJAQAADwAAAAAA&#10;AAABACAAAAAiAAAAZHJzL2Rvd25yZXYueG1sUEsBAhQAFAAAAAgAh07iQHfdGOLbAQAAmwMAAA4A&#10;AAAAAAAAAQAgAAAAJgEAAGRycy9lMm9Eb2MueG1sUEsFBgAAAAAGAAYAWQEAAHMFAAAAAA==&#10;">
                <v:fill on="f" focussize="0,0"/>
                <v:stroke weight="2.25pt" color="#FF0000 [3204]" joinstyle="round"/>
                <v:imagedata o:title=""/>
                <o:lock v:ext="edit" aspectratio="f"/>
              </v:line>
            </w:pict>
          </mc:Fallback>
        </mc:AlternateContent>
      </w: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 xml:space="preserve">  2025年6月15日</w:t>
      </w:r>
    </w:p>
    <w:p w14:paraId="0F5BD3A3">
      <w:pPr>
        <w:pStyle w:val="16"/>
        <w:widowControl/>
        <w:rPr>
          <w:rFonts w:hint="eastAsia"/>
          <w:lang w:val="en-US" w:eastAsia="zh-CN"/>
        </w:rPr>
      </w:pPr>
    </w:p>
    <w:p w14:paraId="1966DF3E">
      <w:pPr>
        <w:pStyle w:val="16"/>
        <w:widowControl/>
        <w:rPr>
          <w:rFonts w:hint="eastAsia"/>
          <w:lang w:val="en-US" w:eastAsia="zh-CN"/>
        </w:rPr>
      </w:pPr>
    </w:p>
    <w:p w14:paraId="2F7B369E">
      <w:pPr>
        <w:pStyle w:val="16"/>
        <w:widowControl/>
        <w:rPr>
          <w:i w:val="0"/>
          <w:color w:val="1F2329"/>
        </w:rPr>
      </w:pPr>
      <w:r>
        <w:rPr>
          <w:rFonts w:hint="eastAsia"/>
          <w:lang w:val="en-US" w:eastAsia="zh-CN"/>
        </w:rPr>
        <w:t>引领</w:t>
      </w:r>
      <w:r>
        <w:t>双拥（云南）投资集团</w:t>
      </w:r>
      <w:r>
        <w:rPr>
          <w:rFonts w:hint="eastAsia"/>
          <w:lang w:val="en-US" w:eastAsia="zh-CN"/>
        </w:rPr>
        <w:t>到丽江西促会永胜辖区会员单位调研暨展开合作交流</w:t>
      </w:r>
      <w:r>
        <w:t>​</w:t>
      </w:r>
      <mc:AlternateContent>
        <mc:Choice Requires="wpsCustomData">
          <wpsCustomData:docfieldEnd id="0"/>
        </mc:Choice>
      </mc:AlternateContent>
    </w:p>
    <w:p w14:paraId="075E4D9B">
      <w:pPr>
        <w:pStyle w:val="11"/>
        <w:widowControl/>
        <w:rPr>
          <w:i w:val="0"/>
          <w:color w:val="1F2329"/>
        </w:rPr>
      </w:pPr>
      <w:r>
        <w:rPr>
          <w:rFonts w:hint="default"/>
          <w:i w:val="0"/>
          <w:color w:val="1F2329"/>
          <w:lang w:val="en-US" w:eastAsia="zh-CN"/>
        </w:rPr>
        <w:t>为充分发挥桥梁纽带作用，助力会员企业发展及区域项目合作，6月11日至13日，丽江西促会积极牵线搭桥，促成双拥（云南）投资集团有限公司董事长韩明一行先后前往永胜县程海白云山公园、丽江程海保尔生物开发有限公司及</w:t>
      </w:r>
      <w:r>
        <w:rPr>
          <w:rFonts w:hint="eastAsia"/>
          <w:i w:val="0"/>
          <w:color w:val="1F2329"/>
          <w:lang w:val="en-US" w:eastAsia="zh-CN"/>
        </w:rPr>
        <w:t>丽江中源绿色食品有限公司</w:t>
      </w:r>
      <w:r>
        <w:rPr>
          <w:rFonts w:hint="default"/>
          <w:i w:val="0"/>
          <w:color w:val="1F2329"/>
          <w:lang w:val="en-US" w:eastAsia="zh-CN"/>
        </w:rPr>
        <w:t>进行考察交流，多方在相关领域初步达成合作意向，为后续深化合作奠定坚实基础。</w:t>
      </w:r>
    </w:p>
    <w:p w14:paraId="5D721E3F">
      <w:pPr>
        <w:pStyle w:val="11"/>
        <w:widowControl/>
        <w:spacing w:line="240" w:lineRule="auto"/>
        <w:jc w:val="left"/>
        <w:rPr>
          <w:rFonts w:hint="default"/>
          <w:i w:val="0"/>
          <w:color w:val="1F2329"/>
          <w:lang w:val="en-US" w:eastAsia="zh-CN"/>
        </w:rPr>
      </w:pPr>
      <w:r>
        <w:rPr>
          <w:rFonts w:hint="default"/>
          <w:i w:val="0"/>
          <w:color w:val="1F2329"/>
          <w:lang w:val="en-US" w:eastAsia="zh-CN"/>
        </w:rPr>
        <w:t>6月11日，韩明一行首先前往永胜县程海白云山公园开展考察。此次考察重点围绕白云山公园建设国防教育研学基地的可行性展开，考察团详细了解了公园的地理位置、自然环境、现有设施条件及周边配套资源，对基地建设的场地规划、功能分区、课程设计等核心要素进行了深入调研。</w:t>
      </w:r>
    </w:p>
    <w:p w14:paraId="311200CB">
      <w:pPr>
        <w:pStyle w:val="11"/>
        <w:widowControl/>
        <w:spacing w:line="240" w:lineRule="auto"/>
        <w:jc w:val="left"/>
        <w:rPr>
          <w:rFonts w:hint="default"/>
          <w:i w:val="0"/>
          <w:color w:val="1F2329"/>
          <w:lang w:val="en-US" w:eastAsia="zh-CN"/>
        </w:rPr>
      </w:pPr>
    </w:p>
    <w:p w14:paraId="0AA985DF">
      <w:pPr>
        <w:pStyle w:val="11"/>
        <w:widowControl/>
        <w:spacing w:line="240" w:lineRule="auto"/>
        <w:jc w:val="left"/>
        <w:rPr>
          <w:rFonts w:hint="default"/>
          <w:i w:val="0"/>
          <w:color w:val="1F2329"/>
          <w:lang w:val="en-US" w:eastAsia="zh-CN"/>
        </w:rPr>
      </w:pPr>
      <w:r>
        <w:rPr>
          <w:i w:val="0"/>
          <w:color w:val="1F2329"/>
        </w:rPr>
        <w:drawing>
          <wp:anchor distT="0" distB="0" distL="114300" distR="114300" simplePos="0" relativeHeight="251659264" behindDoc="0" locked="0" layoutInCell="1" allowOverlap="1">
            <wp:simplePos x="0" y="0"/>
            <wp:positionH relativeFrom="column">
              <wp:posOffset>167640</wp:posOffset>
            </wp:positionH>
            <wp:positionV relativeFrom="paragraph">
              <wp:posOffset>-665480</wp:posOffset>
            </wp:positionV>
            <wp:extent cx="5528945" cy="2860675"/>
            <wp:effectExtent l="0" t="0" r="14605" b="15875"/>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10"/>
                    <a:stretch>
                      <a:fillRect/>
                    </a:stretch>
                  </pic:blipFill>
                  <pic:spPr>
                    <a:xfrm>
                      <a:off x="0" y="0"/>
                      <a:ext cx="5528945" cy="2860675"/>
                    </a:xfrm>
                    <a:prstGeom prst="rect">
                      <a:avLst/>
                    </a:prstGeom>
                  </pic:spPr>
                </pic:pic>
              </a:graphicData>
            </a:graphic>
          </wp:anchor>
        </w:drawing>
      </w:r>
    </w:p>
    <w:p w14:paraId="372E24A7">
      <w:pPr>
        <w:pStyle w:val="11"/>
        <w:widowControl/>
        <w:spacing w:line="240" w:lineRule="auto"/>
        <w:jc w:val="left"/>
        <w:rPr>
          <w:rFonts w:hint="default"/>
          <w:i w:val="0"/>
          <w:color w:val="1F2329"/>
          <w:lang w:val="en-US" w:eastAsia="zh-CN"/>
        </w:rPr>
      </w:pPr>
    </w:p>
    <w:p w14:paraId="48AC09AC">
      <w:pPr>
        <w:pStyle w:val="11"/>
        <w:widowControl/>
        <w:spacing w:line="240" w:lineRule="auto"/>
        <w:jc w:val="left"/>
        <w:rPr>
          <w:rFonts w:hint="default"/>
          <w:i w:val="0"/>
          <w:color w:val="1F2329"/>
          <w:lang w:val="en-US" w:eastAsia="zh-CN"/>
        </w:rPr>
      </w:pPr>
    </w:p>
    <w:p w14:paraId="71B97F8F">
      <w:pPr>
        <w:pStyle w:val="11"/>
        <w:widowControl/>
        <w:spacing w:line="240" w:lineRule="auto"/>
        <w:jc w:val="left"/>
        <w:rPr>
          <w:rFonts w:hint="default"/>
          <w:i w:val="0"/>
          <w:color w:val="1F2329"/>
          <w:lang w:val="en-US" w:eastAsia="zh-CN"/>
        </w:rPr>
      </w:pPr>
    </w:p>
    <w:p w14:paraId="2694A0DE">
      <w:pPr>
        <w:pStyle w:val="11"/>
        <w:widowControl/>
        <w:spacing w:line="240" w:lineRule="auto"/>
        <w:jc w:val="left"/>
        <w:rPr>
          <w:rFonts w:hint="default"/>
          <w:i w:val="0"/>
          <w:color w:val="1F2329"/>
          <w:lang w:val="en-US" w:eastAsia="zh-CN"/>
        </w:rPr>
      </w:pPr>
    </w:p>
    <w:p w14:paraId="034034C7">
      <w:pPr>
        <w:pStyle w:val="11"/>
        <w:widowControl/>
        <w:spacing w:line="240" w:lineRule="auto"/>
        <w:jc w:val="left"/>
        <w:rPr>
          <w:rFonts w:hint="default"/>
          <w:i w:val="0"/>
          <w:color w:val="1F2329"/>
          <w:lang w:val="en-US" w:eastAsia="zh-CN"/>
        </w:rPr>
      </w:pPr>
    </w:p>
    <w:p w14:paraId="6CEA9076">
      <w:pPr>
        <w:pStyle w:val="11"/>
        <w:widowControl/>
        <w:spacing w:line="240" w:lineRule="auto"/>
        <w:jc w:val="left"/>
        <w:rPr>
          <w:rFonts w:hint="default"/>
          <w:i w:val="0"/>
          <w:color w:val="1F2329"/>
        </w:rPr>
      </w:pPr>
      <w:r>
        <w:rPr>
          <w:rFonts w:hint="default"/>
          <w:i w:val="0"/>
          <w:color w:val="1F2329"/>
          <w:lang w:val="en-US" w:eastAsia="zh-CN"/>
        </w:rPr>
        <w:t>随后的座谈会上，双方就国防教育研学基地的建设理念、运营模式、资源整合等话题展开热烈讨论。韩明表示，国防教育是全民教育的重要组成部分，程海白云山公园具备建设国防教育研学基地的独特优势，双拥（云南）投资集团对该项目的发展前景充满期待，未来将进一步探讨合作细节，希望通过资源整合与优势互补，打造集国防教育、研学实践、红色旅游于一体的综合性基地，助力提升区域国防教育水平。</w:t>
      </w:r>
      <w:r>
        <w:rPr>
          <w:rFonts w:hint="default"/>
          <w:i w:val="0"/>
          <w:color w:val="1F2329"/>
        </w:rPr>
        <w:drawing>
          <wp:inline distT="0" distB="0" distL="114300" distR="114300">
            <wp:extent cx="5607685" cy="3571875"/>
            <wp:effectExtent l="0" t="0" r="12065" b="9525"/>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11"/>
                    <a:stretch>
                      <a:fillRect/>
                    </a:stretch>
                  </pic:blipFill>
                  <pic:spPr>
                    <a:xfrm>
                      <a:off x="0" y="0"/>
                      <a:ext cx="5607685" cy="3571875"/>
                    </a:xfrm>
                    <a:prstGeom prst="rect">
                      <a:avLst/>
                    </a:prstGeom>
                  </pic:spPr>
                </pic:pic>
              </a:graphicData>
            </a:graphic>
          </wp:inline>
        </w:drawing>
      </w:r>
    </w:p>
    <w:p w14:paraId="247667B6">
      <w:pPr>
        <w:pStyle w:val="11"/>
        <w:widowControl/>
        <w:spacing w:line="240" w:lineRule="auto"/>
        <w:jc w:val="left"/>
        <w:rPr>
          <w:i w:val="0"/>
          <w:color w:val="1F2329"/>
        </w:rPr>
      </w:pPr>
      <w:r>
        <w:rPr>
          <w:rFonts w:hint="default"/>
          <w:i w:val="0"/>
          <w:color w:val="1F2329"/>
          <w:lang w:val="en-US" w:eastAsia="zh-CN"/>
        </w:rPr>
        <w:t>6月12日，韩明一行前往永胜县丽江程海保尔生物开发有限公司进行考察交流。丽江程海保尔生物开发有限公司作为丽江西促会副会长单位，在生物产业领域深耕多年，成果显著。考察活动中，公司董事长谭国仁热情接待了考察团，并从企业发展历程、核心技术优势、产品研发、市场销售、未来战略规划等多个维度，向与会人员详细介绍了螺旋藻和红球藻产业发展情况。随后，考察团一行深入保尔公司年产1500吨螺旋藻基地和云南红宝年产300吨红球藻基地进行实地考察，直观感受企业生产规模与技术实力。</w:t>
      </w:r>
      <w:r>
        <w:rPr>
          <w:i w:val="0"/>
          <w:color w:val="1F2329"/>
        </w:rPr>
        <w:drawing>
          <wp:inline distT="0" distB="0" distL="114300" distR="114300">
            <wp:extent cx="5609590" cy="3509645"/>
            <wp:effectExtent l="0" t="0" r="10160" b="14605"/>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12"/>
                    <a:stretch>
                      <a:fillRect/>
                    </a:stretch>
                  </pic:blipFill>
                  <pic:spPr>
                    <a:xfrm>
                      <a:off x="0" y="0"/>
                      <a:ext cx="5609590" cy="3509645"/>
                    </a:xfrm>
                    <a:prstGeom prst="rect">
                      <a:avLst/>
                    </a:prstGeom>
                  </pic:spPr>
                </pic:pic>
              </a:graphicData>
            </a:graphic>
          </wp:inline>
        </w:drawing>
      </w:r>
    </w:p>
    <w:p w14:paraId="5AC50806">
      <w:pPr>
        <w:pStyle w:val="11"/>
        <w:widowControl/>
        <w:spacing w:line="240" w:lineRule="auto"/>
        <w:jc w:val="left"/>
        <w:rPr>
          <w:rFonts w:hint="default"/>
          <w:i w:val="0"/>
          <w:color w:val="1F2329"/>
        </w:rPr>
      </w:pPr>
      <w:r>
        <w:rPr>
          <w:rFonts w:hint="default"/>
          <w:i w:val="0"/>
          <w:color w:val="1F2329"/>
          <w:lang w:val="en-US" w:eastAsia="zh-CN"/>
        </w:rPr>
        <w:t>在考察座谈会上，韩明详细介绍了双拥（云南）投资集团基本情况，并分享了合作展望。他表示，通过此次考察，对丽江程海保尔生物开发有限公司的实力和发展潜力有了全新且深刻的认识，充分肯定了保尔公司在生物产业领域的独特优势与广阔前景，认为双方在多个领域存在巨大合作空间。未来，双拥（云南）投资集团将与丽江程海保尔生物开发有限公司围绕产业发展趋势、市场前景、技术创新、资源整合等关键话题展开更深入探讨，携手打造高原生物产品标杆，实现互利共赢。</w:t>
      </w:r>
      <w:r>
        <w:rPr>
          <w:rFonts w:hint="default"/>
          <w:i w:val="0"/>
          <w:color w:val="1F2329"/>
        </w:rPr>
        <w:drawing>
          <wp:inline distT="0" distB="0" distL="114300" distR="114300">
            <wp:extent cx="5607685" cy="2794000"/>
            <wp:effectExtent l="0" t="0" r="12065" b="6350"/>
            <wp:docPr id="4" name="图片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
                    <pic:cNvPicPr>
                      <a:picLocks noChangeAspect="1"/>
                    </pic:cNvPicPr>
                  </pic:nvPicPr>
                  <pic:blipFill>
                    <a:blip r:embed="rId13"/>
                    <a:stretch>
                      <a:fillRect/>
                    </a:stretch>
                  </pic:blipFill>
                  <pic:spPr>
                    <a:xfrm>
                      <a:off x="0" y="0"/>
                      <a:ext cx="5607685" cy="2794000"/>
                    </a:xfrm>
                    <a:prstGeom prst="rect">
                      <a:avLst/>
                    </a:prstGeom>
                  </pic:spPr>
                </pic:pic>
              </a:graphicData>
            </a:graphic>
          </wp:inline>
        </w:drawing>
      </w:r>
    </w:p>
    <w:p w14:paraId="5E4341CE">
      <w:pPr>
        <w:pStyle w:val="11"/>
        <w:widowControl/>
        <w:spacing w:line="240" w:lineRule="auto"/>
        <w:jc w:val="left"/>
        <w:rPr>
          <w:i w:val="0"/>
          <w:color w:val="1F2329"/>
        </w:rPr>
      </w:pPr>
      <w:r>
        <w:rPr>
          <w:i w:val="0"/>
          <w:color w:val="1F2329"/>
        </w:rPr>
        <w:drawing>
          <wp:anchor distT="0" distB="0" distL="114300" distR="114300" simplePos="0" relativeHeight="251660288" behindDoc="0" locked="0" layoutInCell="1" allowOverlap="1">
            <wp:simplePos x="0" y="0"/>
            <wp:positionH relativeFrom="column">
              <wp:posOffset>7620</wp:posOffset>
            </wp:positionH>
            <wp:positionV relativeFrom="paragraph">
              <wp:posOffset>1961515</wp:posOffset>
            </wp:positionV>
            <wp:extent cx="5607685" cy="3181350"/>
            <wp:effectExtent l="0" t="0" r="12065" b="0"/>
            <wp:wrapNone/>
            <wp:docPr id="7" name="图片 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
                    <pic:cNvPicPr>
                      <a:picLocks noChangeAspect="1"/>
                    </pic:cNvPicPr>
                  </pic:nvPicPr>
                  <pic:blipFill>
                    <a:blip r:embed="rId14"/>
                    <a:stretch>
                      <a:fillRect/>
                    </a:stretch>
                  </pic:blipFill>
                  <pic:spPr>
                    <a:xfrm>
                      <a:off x="0" y="0"/>
                      <a:ext cx="5607685" cy="3181350"/>
                    </a:xfrm>
                    <a:prstGeom prst="rect">
                      <a:avLst/>
                    </a:prstGeom>
                  </pic:spPr>
                </pic:pic>
              </a:graphicData>
            </a:graphic>
          </wp:anchor>
        </w:drawing>
      </w:r>
      <w:r>
        <w:rPr>
          <w:rFonts w:hint="default"/>
          <w:i w:val="0"/>
          <w:color w:val="1F2329"/>
          <w:lang w:val="en-US" w:eastAsia="zh-CN"/>
        </w:rPr>
        <w:t>6月13日，韩明一行前往</w:t>
      </w:r>
      <w:r>
        <w:rPr>
          <w:rFonts w:hint="eastAsia"/>
          <w:i w:val="0"/>
          <w:color w:val="1F2329"/>
          <w:lang w:val="en-US" w:eastAsia="zh-CN"/>
        </w:rPr>
        <w:t>丽江中源绿色食品有限公司</w:t>
      </w:r>
      <w:r>
        <w:rPr>
          <w:rFonts w:hint="default"/>
          <w:i w:val="0"/>
          <w:color w:val="1F2329"/>
          <w:lang w:val="en-US" w:eastAsia="zh-CN"/>
        </w:rPr>
        <w:t>开展考察，重点关注其野生菌项目。考察团深入</w:t>
      </w:r>
      <w:r>
        <w:rPr>
          <w:rFonts w:hint="eastAsia"/>
          <w:i w:val="0"/>
          <w:color w:val="1F2329"/>
          <w:lang w:val="en-US" w:eastAsia="zh-CN"/>
        </w:rPr>
        <w:t>丽江中源绿色食品有限公司</w:t>
      </w:r>
      <w:r>
        <w:rPr>
          <w:rFonts w:hint="default"/>
          <w:i w:val="0"/>
          <w:color w:val="1F2329"/>
          <w:lang w:val="en-US" w:eastAsia="zh-CN"/>
        </w:rPr>
        <w:t>的野生菌培育基地、加工车间及仓储设施，详细了解野生菌的品种资源、培育技术、采收加工流程、市场销售渠道及产业链延伸规划等情况，对项目的规模化发展潜力和市场竞争力进行了全面评估。</w:t>
      </w:r>
    </w:p>
    <w:p w14:paraId="3B0CED88">
      <w:pPr>
        <w:pStyle w:val="11"/>
        <w:widowControl/>
        <w:rPr>
          <w:rFonts w:hint="default"/>
          <w:i w:val="0"/>
          <w:color w:val="1F2329"/>
          <w:lang w:val="en-US" w:eastAsia="zh-CN"/>
        </w:rPr>
      </w:pPr>
    </w:p>
    <w:p w14:paraId="2D31E851">
      <w:pPr>
        <w:pStyle w:val="11"/>
        <w:widowControl/>
        <w:rPr>
          <w:rFonts w:hint="default"/>
          <w:i w:val="0"/>
          <w:color w:val="1F2329"/>
          <w:lang w:val="en-US" w:eastAsia="zh-CN"/>
        </w:rPr>
      </w:pPr>
    </w:p>
    <w:p w14:paraId="77C4CDF1">
      <w:pPr>
        <w:pStyle w:val="11"/>
        <w:widowControl/>
        <w:rPr>
          <w:rFonts w:hint="default"/>
          <w:i w:val="0"/>
          <w:color w:val="1F2329"/>
          <w:lang w:val="en-US" w:eastAsia="zh-CN"/>
        </w:rPr>
      </w:pPr>
    </w:p>
    <w:p w14:paraId="274E41BE">
      <w:pPr>
        <w:pStyle w:val="11"/>
        <w:widowControl/>
        <w:rPr>
          <w:rFonts w:hint="default"/>
          <w:i w:val="0"/>
          <w:color w:val="1F2329"/>
          <w:lang w:val="en-US" w:eastAsia="zh-CN"/>
        </w:rPr>
      </w:pPr>
    </w:p>
    <w:p w14:paraId="1377CC8C">
      <w:pPr>
        <w:pStyle w:val="11"/>
        <w:widowControl/>
        <w:rPr>
          <w:rFonts w:hint="default"/>
          <w:i w:val="0"/>
          <w:color w:val="1F2329"/>
          <w:lang w:val="en-US" w:eastAsia="zh-CN"/>
        </w:rPr>
      </w:pPr>
    </w:p>
    <w:p w14:paraId="03F4F4B1">
      <w:pPr>
        <w:pStyle w:val="11"/>
        <w:widowControl/>
        <w:rPr>
          <w:rFonts w:hint="default"/>
          <w:i w:val="0"/>
          <w:color w:val="1F2329"/>
          <w:lang w:val="en-US" w:eastAsia="zh-CN"/>
        </w:rPr>
      </w:pPr>
    </w:p>
    <w:p w14:paraId="611DF5B6">
      <w:pPr>
        <w:pStyle w:val="11"/>
        <w:widowControl/>
        <w:rPr>
          <w:rFonts w:hint="default"/>
          <w:i w:val="0"/>
          <w:color w:val="1F2329"/>
          <w:lang w:val="en-US" w:eastAsia="zh-CN"/>
        </w:rPr>
      </w:pPr>
    </w:p>
    <w:p w14:paraId="41FDA963">
      <w:pPr>
        <w:pStyle w:val="11"/>
        <w:widowControl/>
      </w:pPr>
      <w:r>
        <w:rPr>
          <w:rFonts w:hint="default"/>
          <w:i w:val="0"/>
          <w:color w:val="1F2329"/>
          <w:lang w:val="en-US" w:eastAsia="zh-CN"/>
        </w:rPr>
        <w:t>此次系列考察交流活动的顺利开展，是丽江西促会积极发挥平台作用、服务区域发展的生动实践。未来，丽江西促会将持续关注各方合作进展，进一步整合资源，提供全方位支持，助力合作项目落地生根、开花结果，为推动区域经济发展贡献力量。</w:t>
      </w:r>
    </w:p>
    <w:sectPr>
      <w:headerReference r:id="rId5" w:type="default"/>
      <w:footerReference r:id="rId7" w:type="default"/>
      <w:headerReference r:id="rId6" w:type="even"/>
      <w:footerReference r:id="rId8" w:type="even"/>
      <w:pgSz w:w="11906" w:h="16838"/>
      <w:pgMar w:top="1962" w:right="1474" w:bottom="1848" w:left="1587" w:header="851" w:footer="1049"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C9BEE">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bottomMargin">
                <wp:posOffset>139700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4741C">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55pt;margin-top:760.5pt;height:144pt;width:144pt;mso-position-horizontal-relative:page;mso-position-vertical-relative:page;mso-wrap-style:none;z-index:251660288;mso-width-relative:page;mso-height-relative:page;" filled="f" stroked="f" coordsize="21600,21600" o:gfxdata="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O8vKm3XAAAABwEAAA8AAAAAAAAAAQAgAAAAIgAAAGRycy9kb3du&#10;cmV2LnhtbFBLAQIUABQAAAAIAIdO4kAmMj3WOQIAAGsEAAAOAAAAAAAAAAEAIAAAACYBAABkcnMv&#10;ZTJvRG9jLnhtbFBLBQYAAAAABgAGAFkBAADRBQAAAAA=&#10;">
              <v:fill on="f" focussize="0,0"/>
              <v:stroke on="f" weight="0.5pt"/>
              <v:imagedata o:title=""/>
              <o:lock v:ext="edit" aspectratio="f"/>
              <v:textbox inset="16pt,0mm,16pt,0mm" style="mso-fit-shape-to-text:t;">
                <w:txbxContent>
                  <w:p w14:paraId="7FC4741C">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F8E5D">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bottomMargin">
                <wp:posOffset>139700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090D77">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79.35pt;margin-top:760.5pt;height:144pt;width:144pt;mso-position-horizontal-relative:page;mso-position-vertical-relative:page;mso-wrap-style:none;z-index:251661312;mso-width-relative:page;mso-height-relative:page;" filled="f" stroked="f" coordsize="21600,21600" o:gfxdata="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vLypt1wAAAAcBAAAPAAAAAAAAAAEAIAAAACIAAABkcnMvZG93bnJl&#10;di54bWxQSwECFAAUAAAACACHTuJAWcJ4YDcCAABrBAAADgAAAAAAAAABACAAAAAmAQAAZHJzL2Uy&#10;b0RvYy54bWxQSwUGAAAAAAYABgBZAQAAzwUAAAAA&#10;">
              <v:fill on="f" focussize="0,0"/>
              <v:stroke on="f" weight="0.5pt"/>
              <v:imagedata o:title=""/>
              <o:lock v:ext="edit" aspectratio="f"/>
              <v:textbox inset="16pt,0mm,16pt,0mm" style="mso-fit-shape-to-text:t;">
                <w:txbxContent>
                  <w:p w14:paraId="46090D77">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3DC39">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CF686">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3637D4"/>
    <w:rsid w:val="03B222B1"/>
    <w:rsid w:val="04113C31"/>
    <w:rsid w:val="14212297"/>
    <w:rsid w:val="143637D4"/>
    <w:rsid w:val="14C05A12"/>
    <w:rsid w:val="6E7004A6"/>
    <w:rsid w:val="6F4968E8"/>
    <w:rsid w:val="742052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仿宋_GB2312" w:hAnsi="仿宋_GB2312" w:eastAsia="仿宋_GB2312" w:cs="Times New Roman"/>
      <w:spacing w:val="-6"/>
      <w:kern w:val="2"/>
      <w:sz w:val="32"/>
      <w:szCs w:val="32"/>
      <w:lang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Times New Roman"/>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Times New Roman"/>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仿宋_GB2312" w:hAnsi="仿宋_GB2312" w:eastAsia="仿宋_GB2312" w:cs="Times New Roman"/>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仿宋_GB2312" w:hAnsi="仿宋_GB2312" w:eastAsia="仿宋_GB2312" w:cs="Times New Roman"/>
      <w:sz w:val="32"/>
      <w:szCs w:val="32"/>
    </w:rPr>
  </w:style>
  <w:style w:type="paragraph" w:styleId="6">
    <w:name w:val="heading 5"/>
    <w:next w:val="1"/>
    <w:semiHidden/>
    <w:unhideWhenUsed/>
    <w:qFormat/>
    <w:uiPriority w:val="0"/>
    <w:pPr>
      <w:spacing w:line="560" w:lineRule="exact"/>
      <w:ind w:firstLine="894" w:firstLineChars="200"/>
      <w:outlineLvl w:val="4"/>
    </w:pPr>
    <w:rPr>
      <w:rFonts w:ascii="仿宋_GB2312" w:hAnsi="仿宋_GB2312" w:eastAsia="仿宋_GB2312" w:cs="Times New Roman"/>
      <w:sz w:val="32"/>
      <w:szCs w:val="32"/>
    </w:rPr>
  </w:style>
  <w:style w:type="paragraph" w:styleId="7">
    <w:name w:val="heading 6"/>
    <w:next w:val="1"/>
    <w:semiHidden/>
    <w:unhideWhenUsed/>
    <w:qFormat/>
    <w:uiPriority w:val="0"/>
    <w:pPr>
      <w:spacing w:line="560" w:lineRule="exact"/>
      <w:ind w:firstLine="894" w:firstLineChars="200"/>
      <w:outlineLvl w:val="5"/>
    </w:pPr>
    <w:rPr>
      <w:rFonts w:ascii="仿宋_GB2312" w:hAnsi="仿宋_GB2312" w:eastAsia="仿宋_GB2312" w:cs="Times New Roman"/>
      <w:sz w:val="32"/>
      <w:szCs w:val="32"/>
    </w:rPr>
  </w:style>
  <w:style w:type="paragraph" w:styleId="8">
    <w:name w:val="heading 7"/>
    <w:next w:val="1"/>
    <w:semiHidden/>
    <w:unhideWhenUsed/>
    <w:qFormat/>
    <w:uiPriority w:val="0"/>
    <w:pPr>
      <w:spacing w:line="560" w:lineRule="exact"/>
      <w:ind w:firstLine="894" w:firstLineChars="200"/>
      <w:outlineLvl w:val="6"/>
    </w:pPr>
    <w:rPr>
      <w:rFonts w:ascii="仿宋_GB2312" w:hAnsi="仿宋_GB2312" w:eastAsia="仿宋_GB2312" w:cs="Times New Roman"/>
      <w:sz w:val="32"/>
      <w:szCs w:val="32"/>
    </w:rPr>
  </w:style>
  <w:style w:type="paragraph" w:styleId="9">
    <w:name w:val="heading 8"/>
    <w:next w:val="1"/>
    <w:semiHidden/>
    <w:unhideWhenUsed/>
    <w:qFormat/>
    <w:uiPriority w:val="0"/>
    <w:pPr>
      <w:spacing w:line="560" w:lineRule="exact"/>
      <w:ind w:firstLine="894" w:firstLineChars="200"/>
      <w:outlineLvl w:val="7"/>
    </w:pPr>
    <w:rPr>
      <w:rFonts w:ascii="仿宋_GB2312" w:hAnsi="仿宋_GB2312" w:eastAsia="仿宋_GB2312" w:cs="Times New Roman"/>
      <w:sz w:val="32"/>
      <w:szCs w:val="32"/>
    </w:rPr>
  </w:style>
  <w:style w:type="paragraph" w:styleId="10">
    <w:name w:val="heading 9"/>
    <w:next w:val="1"/>
    <w:semiHidden/>
    <w:unhideWhenUsed/>
    <w:qFormat/>
    <w:uiPriority w:val="0"/>
    <w:pPr>
      <w:spacing w:line="560" w:lineRule="exact"/>
      <w:ind w:firstLine="894" w:firstLineChars="200"/>
      <w:outlineLvl w:val="8"/>
    </w:pPr>
    <w:rPr>
      <w:rFonts w:ascii="仿宋_GB2312" w:hAnsi="仿宋_GB2312" w:eastAsia="仿宋_GB2312" w:cs="Times New Roman"/>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仿宋_GB2312" w:hAnsi="仿宋_GB2312" w:eastAsia="仿宋_GB2312" w:cs="Times New Roman"/>
      <w:spacing w:val="-6"/>
      <w:sz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560" w:lineRule="exact"/>
      <w:jc w:val="center"/>
      <w:outlineLvl w:val="1"/>
    </w:pPr>
    <w:rPr>
      <w:rFonts w:ascii="楷体_GB2312" w:hAnsi="楷体_GB2312" w:eastAsia="楷体_GB2312" w:cs="Times New Roman"/>
      <w:kern w:val="28"/>
      <w:sz w:val="32"/>
      <w:szCs w:val="32"/>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1190</Words>
  <Characters>1200</Characters>
  <Lines>0</Lines>
  <Paragraphs>0</Paragraphs>
  <TotalTime>0</TotalTime>
  <ScaleCrop>false</ScaleCrop>
  <LinksUpToDate>false</LinksUpToDate>
  <CharactersWithSpaces>1200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2025-06-18T01:40:00Z</dcterms:created>
  <dc:creator>须藤京一.</dc:creator>
  <cp:lastModifiedBy>博悟天通</cp:lastModifiedBy>
  <dcterms:modified xsi:type="dcterms:W3CDTF">2026-07-13T08:40:49Z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2616588E08614DFFB0981E1E35BF173D_11</vt:lpwstr>
  </property>
  <property fmtid="{D5CDD505-2E9C-101B-9397-08002B2CF9AE}" pid="4" name="KSOTemplateDocerSaveRecord">
    <vt:lpwstr>eyJoZGlkIjoiNzNhZjFhODFkZWJjOGNlMTBhZDMxZDVkZWJmODc0ZTEiLCJ1c2VySWQiOiIxNDY0NjI4MTcwIn0=</vt:lpwstr>
  </property>
</Properties>
</file>