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24DF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mc:AlternateContent>
        <mc:Choice Requires="wpsCustomData">
          <wpsCustomData:docfieldStart id="0" docfieldname="标题" hidden="0" print="1" readonly="0" index="1"/>
        </mc:Choice>
      </mc:AlternateContent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7D93DA42"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AC37847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第三期</w:t>
      </w:r>
    </w:p>
    <w:p w14:paraId="1A1598A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丽江西促会办公室编                                                        </w: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422275</wp:posOffset>
                </wp:positionV>
                <wp:extent cx="6190615" cy="0"/>
                <wp:effectExtent l="0" t="13970" r="6985" b="2413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33.25pt;height:0pt;width:487.45pt;z-index:251665408;mso-width-relative:page;mso-height-relative:page;" filled="f" stroked="t" coordsize="21600,21600" o:gfxdata="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ybazbNcAAAAJAQAADwAAAAAA&#10;AAABACAAAAAiAAAAZHJzL2Rvd25yZXYueG1sUEsBAhQAFAAAAAgAh07iQHfdGOLbAQAAmwMAAA4A&#10;AAAAAAAAAQAgAAAAJgEAAGRycy9lMm9Eb2MueG1sUEsFBgAAAAAGAAYAWQEAAHMFAAAAAA==&#10;">
                <v:fill on="f" focussize="0,0"/>
                <v:stroke weight="2.25pt" color="#FF0000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2025年4月14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6303D355">
      <w:pPr>
        <w:pStyle w:val="14"/>
        <w:widowControl/>
        <w:overflowPunct w:val="0"/>
        <w:topLinePunct/>
        <w:autoSpaceDE/>
        <w:autoSpaceDN/>
        <w:snapToGrid/>
        <w:jc w:val="both"/>
      </w:pPr>
    </w:p>
    <w:p w14:paraId="7D52B94B">
      <w:pPr>
        <w:pStyle w:val="14"/>
        <w:widowControl/>
        <w:overflowPunct w:val="0"/>
        <w:topLinePunct/>
        <w:autoSpaceDE/>
        <w:autoSpaceDN/>
        <w:snapToGrid/>
      </w:pPr>
      <w:r>
        <w:t>丽江西促会联合丽江融媒体中心开展宁蒗县</w:t>
      </w:r>
    </w:p>
    <w:p w14:paraId="7FF37963">
      <w:pPr>
        <w:pStyle w:val="14"/>
        <w:widowControl/>
        <w:overflowPunct w:val="0"/>
        <w:topLinePunct/>
        <w:autoSpaceDE/>
        <w:autoSpaceDN/>
        <w:snapToGrid/>
      </w:pPr>
      <w:r>
        <w:t>会员</w:t>
      </w:r>
      <w:r>
        <w:rPr>
          <w:rFonts w:hint="eastAsia"/>
          <w:lang w:val="en-US" w:eastAsia="zh-CN"/>
        </w:rPr>
        <w:t>单位</w:t>
      </w:r>
      <w:r>
        <w:t>及非遗项目调研采访工作简报</w:t>
      </w:r>
      <mc:AlternateContent>
        <mc:Choice Requires="wpsCustomData">
          <wpsCustomData:docfieldEnd id="0"/>
        </mc:Choice>
      </mc:AlternateContent>
    </w:p>
    <w:p w14:paraId="4F5AD80B">
      <w:pPr>
        <w:pStyle w:val="11"/>
        <w:overflowPunct w:val="0"/>
        <w:topLinePunct/>
        <w:autoSpaceDE/>
        <w:autoSpaceDN/>
        <w:bidi w:val="0"/>
        <w:snapToGrid/>
        <w:rPr>
          <w:rFonts w:hint="eastAsia"/>
          <w:lang w:val="en-US" w:eastAsia="zh-CN"/>
        </w:rPr>
      </w:pPr>
    </w:p>
    <w:p w14:paraId="68B219D3">
      <w:pPr>
        <w:pStyle w:val="11"/>
        <w:widowControl/>
        <w:overflowPunct w:val="0"/>
        <w:topLinePunct/>
        <w:autoSpaceDE/>
        <w:autoSpaceDN/>
        <w:snapToGrid/>
        <w:rPr>
          <w:i w:val="0"/>
        </w:rPr>
      </w:pPr>
      <mc:AlternateContent>
        <mc:Choice Requires="wpsCustomData">
          <wpsCustomData:docfieldStart id="1" docfieldname="正文" hidden="0" print="1" readonly="0" index="22"/>
        </mc:Choice>
      </mc:AlternateContent>
      <w:r>
        <w:rPr>
          <w:i w:val="0"/>
        </w:rPr>
        <w:t>为落实“西部之光・丽江篇章”项目部署，</w:t>
      </w:r>
      <w:r>
        <w:rPr>
          <w:rFonts w:hint="eastAsia"/>
          <w:i w:val="0"/>
          <w:lang w:val="en-US" w:eastAsia="zh-CN"/>
        </w:rPr>
        <w:t>2025年</w:t>
      </w:r>
      <w:r>
        <w:rPr>
          <w:i w:val="0"/>
        </w:rPr>
        <w:t>4月8日至11日，丽江西促会会长杨建福、书记、常务副会长兼秘书长熊绍文、办公室主任谭龙会同丽江融媒体中心记者赵丽军组成调研采访组，赴宁蒗县开展会员企业走访及非遗项目考察工作。工作简报如下：</w:t>
      </w:r>
    </w:p>
    <w:p w14:paraId="76C70EC0">
      <w:pPr>
        <w:pStyle w:val="2"/>
        <w:widowControl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40" w:firstLineChars="0"/>
        <w:rPr>
          <w:b w:val="0"/>
        </w:rPr>
      </w:pPr>
      <w:r>
        <w:t>召开政企座谈会，明确调研方向</w:t>
      </w:r>
    </w:p>
    <w:p w14:paraId="4B7DF98F">
      <w:pPr>
        <w:pStyle w:val="11"/>
        <w:widowControl/>
        <w:overflowPunct w:val="0"/>
        <w:topLinePunct/>
        <w:autoSpaceDE/>
        <w:autoSpaceDN/>
        <w:snapToGrid/>
        <w:rPr>
          <w:i w:val="0"/>
        </w:rPr>
      </w:pPr>
      <w:r>
        <w:rPr>
          <w:i w:val="0"/>
        </w:rPr>
        <w:t>4月8日上午，调研采访组与宁蒗县政协召开工作座谈会。县政协秘书长熊世军、办公室主任马文盛、经济委主任浦礼顺及摩梭山泉董事长蔡立军参会。会上，丽江西促会介绍了“西部之光・丽江篇章”项目内容，明确此行重点：一是对已入会企业进行深度采访报道，二是在县政协推荐下挖掘特色企业及非遗项目纳入宣传体系。双方就合作机制、项目筛选标准等达成共识，县政协将积极协助推荐优质资源，助力地方特色产业与文化对外传播。</w:t>
      </w:r>
    </w:p>
    <w:p w14:paraId="6FDE268A">
      <w:pPr>
        <w:pStyle w:val="2"/>
        <w:widowControl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40" w:firstLineChars="0"/>
        <w:rPr>
          <w:b w:val="0"/>
        </w:rPr>
      </w:pPr>
      <w:r>
        <w:t>按时间序走访调研，深挖产业发展与文化传承价值</w:t>
      </w:r>
    </w:p>
    <w:p w14:paraId="57800A68">
      <w:pPr>
        <w:pStyle w:val="3"/>
        <w:widowControl/>
        <w:numPr>
          <w:ilvl w:val="0"/>
          <w:numId w:val="2"/>
        </w:numPr>
        <w:overflowPunct w:val="0"/>
        <w:topLinePunct/>
        <w:autoSpaceDE/>
        <w:autoSpaceDN/>
        <w:snapToGrid/>
        <w:ind w:left="0" w:leftChars="0" w:firstLine="640" w:firstLineChars="0"/>
        <w:rPr>
          <w:b w:val="0"/>
        </w:rPr>
      </w:pPr>
      <w:r>
        <w:t>摩梭民俗博物馆调研（4月8日下午）</w:t>
      </w:r>
    </w:p>
    <w:p w14:paraId="0765CEAF">
      <w:pPr>
        <w:pStyle w:val="11"/>
        <w:widowControl/>
        <w:overflowPunct w:val="0"/>
        <w:topLinePunct/>
        <w:autoSpaceDE/>
        <w:autoSpaceDN/>
        <w:snapToGrid/>
        <w:rPr>
          <w:i w:val="0"/>
        </w:rPr>
      </w:pPr>
      <w:r>
        <w:rPr>
          <w:i w:val="0"/>
        </w:rPr>
        <w:t>调研采访组首站抵达泸沽湖畔的摩梭民俗博物馆，实地参观馆内陈列的摩梭母系家庭结构模型、传统服饰、火塘文化场景及</w:t>
      </w:r>
      <w:r>
        <w:rPr>
          <w:i w:val="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158750</wp:posOffset>
            </wp:positionV>
            <wp:extent cx="5494020" cy="4122420"/>
            <wp:effectExtent l="0" t="0" r="5080" b="5080"/>
            <wp:wrapTight wrapText="bothSides">
              <wp:wrapPolygon>
                <wp:start x="0" y="0"/>
                <wp:lineTo x="0" y="21560"/>
                <wp:lineTo x="21570" y="21560"/>
                <wp:lineTo x="21570" y="0"/>
                <wp:lineTo x="0" y="0"/>
              </wp:wrapPolygon>
            </wp:wrapTight>
            <wp:docPr id="1" name="图片 1" descr="摩梭民宿博物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摩梭民宿博物馆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4122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 w:val="0"/>
        </w:rPr>
        <w:t>民俗器物等特色展品。创办人曹顺刚详细介绍了博物馆以“保护传承摩梭文化”为宗旨，通过实物展示、活态展演等方式活化民族文化的实践路径，包括与高校合作开展学术研究、接待国内外游客传播文化等情况。工作组重点记录了摩梭人“走婚”习俗、达巴文化等独特文化符号，为后续宣传素材库积累了第一手影像及文字资料。</w:t>
      </w:r>
    </w:p>
    <w:p w14:paraId="40FB1092">
      <w:pPr>
        <w:pStyle w:val="3"/>
        <w:widowControl/>
        <w:numPr>
          <w:ilvl w:val="0"/>
          <w:numId w:val="2"/>
        </w:numPr>
        <w:overflowPunct w:val="0"/>
        <w:topLinePunct/>
        <w:autoSpaceDE/>
        <w:autoSpaceDN/>
        <w:snapToGrid/>
        <w:ind w:left="0" w:leftChars="0" w:firstLine="640" w:firstLineChars="0"/>
        <w:rPr>
          <w:b w:val="0"/>
        </w:rPr>
      </w:pPr>
      <w:r>
        <w:t>拉伯土猪养殖基地考察（4月9日上午）</w:t>
      </w:r>
    </w:p>
    <w:p w14:paraId="5DF50E73">
      <w:pPr>
        <w:pStyle w:val="11"/>
        <w:widowControl/>
        <w:overflowPunct w:val="0"/>
        <w:topLinePunct/>
        <w:autoSpaceDE/>
        <w:autoSpaceDN/>
        <w:snapToGrid/>
        <w:rPr>
          <w:i w:val="0"/>
        </w:rPr>
      </w:pPr>
      <w:r>
        <w:rPr>
          <w:i w:val="0"/>
        </w:rPr>
        <w:t>在拉伯乡格瓦村，工作组深入</w:t>
      </w:r>
      <w:r>
        <w:rPr>
          <w:rFonts w:hint="eastAsia"/>
          <w:i w:val="0"/>
          <w:lang w:val="en-US" w:eastAsia="zh-CN"/>
        </w:rPr>
        <w:t>大山凹地</w:t>
      </w:r>
      <w:r>
        <w:rPr>
          <w:i w:val="0"/>
        </w:rPr>
        <w:t>区域，实地查看拉伯土猪生态养殖环境，听取丽江西促会理事熊绍军关于基地运营情况的介绍。该基地依托宁蒗高原海拔</w:t>
      </w:r>
      <w:r>
        <w:rPr>
          <w:rFonts w:hint="default"/>
          <w:i w:val="0"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2304415</wp:posOffset>
            </wp:positionV>
            <wp:extent cx="5608320" cy="2455545"/>
            <wp:effectExtent l="0" t="0" r="5080" b="8255"/>
            <wp:wrapTopAndBottom/>
            <wp:docPr id="7" name="图片 7" descr="451989f604742533bc3ee25f8341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51989f604742533bc3ee25f83411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 w:val="0"/>
        </w:rPr>
        <w:t>2600米以上的生态优势，采用“</w:t>
      </w:r>
      <w:r>
        <w:rPr>
          <w:rFonts w:hint="eastAsia"/>
          <w:i w:val="0"/>
          <w:lang w:val="en-US" w:eastAsia="zh-CN"/>
        </w:rPr>
        <w:t>公司</w:t>
      </w:r>
      <w:r>
        <w:rPr>
          <w:i w:val="0"/>
        </w:rPr>
        <w:t>+农户”模式，统一提供仔猪、技术指导及保底收购，带动周边农户参与土猪养殖，年出栏量达2000头以上。工作组详细记录了土猪从育种、喂养到屠宰加工的全流程，重点关注其“</w:t>
      </w:r>
      <w:r>
        <w:rPr>
          <w:rFonts w:hint="eastAsia"/>
          <w:i w:val="0"/>
          <w:lang w:val="en-US" w:eastAsia="zh-CN"/>
        </w:rPr>
        <w:t>有机养殖</w:t>
      </w:r>
      <w:r>
        <w:rPr>
          <w:i w:val="0"/>
        </w:rPr>
        <w:t>”的绿色养殖理念，为宣传乡村振兴产业案例积累素材。</w:t>
      </w:r>
    </w:p>
    <w:p w14:paraId="10FB3EEC">
      <w:pPr>
        <w:pStyle w:val="3"/>
        <w:widowControl/>
        <w:numPr>
          <w:ilvl w:val="0"/>
          <w:numId w:val="2"/>
        </w:numPr>
        <w:overflowPunct w:val="0"/>
        <w:topLinePunct/>
        <w:autoSpaceDE/>
        <w:autoSpaceDN/>
        <w:snapToGrid/>
        <w:ind w:left="0" w:leftChars="0" w:firstLine="640" w:firstLineChars="0"/>
        <w:rPr>
          <w:b w:val="0"/>
        </w:rPr>
      </w:pPr>
      <w:r>
        <w:t>2670高原红米培育基地调研（4月9日下午）</w:t>
      </w:r>
    </w:p>
    <w:p w14:paraId="0A93DF87">
      <w:pPr>
        <w:pStyle w:val="11"/>
        <w:widowControl/>
        <w:overflowPunct w:val="0"/>
        <w:topLinePunct/>
        <w:autoSpaceDE/>
        <w:autoSpaceDN/>
        <w:snapToGrid/>
        <w:rPr>
          <w:i w:val="0"/>
        </w:rPr>
      </w:pPr>
      <w:r>
        <w:rPr>
          <w:i w:val="0"/>
        </w:rPr>
        <w:t>在永宁镇红米种植核心区，工作组走进田间地头，查看高原红米</w:t>
      </w:r>
      <w:r>
        <w:rPr>
          <w:rFonts w:hint="eastAsia"/>
          <w:i w:val="0"/>
          <w:lang w:val="en-US" w:eastAsia="zh-CN"/>
        </w:rPr>
        <w:t>育苗过程</w:t>
      </w:r>
      <w:r>
        <w:rPr>
          <w:i w:val="0"/>
        </w:rPr>
        <w:t>，并与基地董事长杨瑶</w:t>
      </w:r>
      <w:r>
        <w:rPr>
          <w:rFonts w:hint="eastAsia"/>
          <w:i w:val="0"/>
          <w:lang w:val="en-US" w:eastAsia="zh-CN"/>
        </w:rPr>
        <w:t>进行</w:t>
      </w:r>
      <w:r>
        <w:rPr>
          <w:i w:val="0"/>
        </w:rPr>
        <w:t>交流。据介绍，该基地海拔2670米，</w:t>
      </w:r>
      <w:r>
        <w:rPr>
          <w:rFonts w:hint="eastAsia"/>
          <w:i w:val="0"/>
          <w:lang w:val="en-US" w:eastAsia="zh-CN"/>
        </w:rPr>
        <w:t>经过</w:t>
      </w:r>
      <w:r>
        <w:rPr>
          <w:i w:val="0"/>
        </w:rPr>
        <w:t>改良培育出适合高海拔地区种植的</w:t>
      </w:r>
      <w:r>
        <w:rPr>
          <w:rFonts w:hint="eastAsia"/>
          <w:i w:val="0"/>
          <w:lang w:val="en-US" w:eastAsia="zh-CN"/>
        </w:rPr>
        <w:t>红米</w:t>
      </w:r>
      <w:r>
        <w:rPr>
          <w:i w:val="0"/>
        </w:rPr>
        <w:t>品种，采用有机种植模式，配套建设红米加工厂</w:t>
      </w:r>
      <w:r>
        <w:rPr>
          <w:rFonts w:hint="eastAsia"/>
          <w:i w:val="0"/>
          <w:lang w:eastAsia="zh-CN"/>
        </w:rPr>
        <w:t>。</w:t>
      </w:r>
      <w:r>
        <w:rPr>
          <w:i w:val="0"/>
        </w:rPr>
        <w:t>工作组重点了解其“科技+农业+文旅”融合发展路径，以及通过</w:t>
      </w:r>
      <w:r>
        <w:rPr>
          <w:rFonts w:hint="eastAsia"/>
          <w:i w:val="0"/>
          <w:lang w:val="en-US" w:eastAsia="zh-CN"/>
        </w:rPr>
        <w:t>互联网</w:t>
      </w:r>
      <w:r>
        <w:rPr>
          <w:i w:val="0"/>
        </w:rPr>
        <w:t>实</w:t>
      </w:r>
      <w:r>
        <w:rPr>
          <w:i w:val="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523240</wp:posOffset>
            </wp:positionV>
            <wp:extent cx="5611495" cy="4210050"/>
            <wp:effectExtent l="0" t="0" r="1905" b="6350"/>
            <wp:wrapTight wrapText="bothSides">
              <wp:wrapPolygon>
                <wp:start x="0" y="0"/>
                <wp:lineTo x="0" y="21567"/>
                <wp:lineTo x="21558" y="21567"/>
                <wp:lineTo x="21558" y="0"/>
                <wp:lineTo x="0" y="0"/>
              </wp:wrapPolygon>
            </wp:wrapTight>
            <wp:docPr id="3" name="图片 3" descr="红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红米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 w:val="0"/>
        </w:rPr>
        <w:t>现产品</w:t>
      </w:r>
      <w:r>
        <w:rPr>
          <w:rFonts w:hint="eastAsia"/>
          <w:i w:val="0"/>
          <w:lang w:val="en-US" w:eastAsia="zh-CN"/>
        </w:rPr>
        <w:t>销售</w:t>
      </w:r>
      <w:r>
        <w:rPr>
          <w:i w:val="0"/>
        </w:rPr>
        <w:t>等实践，为挖掘“科技赋能农业”宣传亮点奠定基础。</w:t>
      </w:r>
    </w:p>
    <w:p w14:paraId="5A1BE935">
      <w:pPr>
        <w:pStyle w:val="3"/>
        <w:widowControl/>
        <w:numPr>
          <w:ilvl w:val="0"/>
          <w:numId w:val="2"/>
        </w:numPr>
        <w:overflowPunct w:val="0"/>
        <w:topLinePunct/>
        <w:autoSpaceDE/>
        <w:autoSpaceDN/>
        <w:snapToGrid/>
        <w:ind w:left="0" w:leftChars="0" w:firstLine="640" w:firstLineChars="0"/>
        <w:rPr>
          <w:b w:val="0"/>
        </w:rPr>
      </w:pPr>
      <w:r>
        <w:t>摩梭非遗工坊探访（4月10日上午）</w:t>
      </w:r>
    </w:p>
    <w:p w14:paraId="2D9F0419">
      <w:pPr>
        <w:pStyle w:val="11"/>
        <w:widowControl/>
        <w:overflowPunct w:val="0"/>
        <w:topLinePunct/>
        <w:autoSpaceDE/>
        <w:autoSpaceDN/>
        <w:snapToGrid/>
        <w:rPr>
          <w:i w:val="0"/>
        </w:rPr>
      </w:pPr>
      <w:r>
        <w:rPr>
          <w:i w:val="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33020</wp:posOffset>
            </wp:positionH>
            <wp:positionV relativeFrom="paragraph">
              <wp:posOffset>1405255</wp:posOffset>
            </wp:positionV>
            <wp:extent cx="5611495" cy="4210050"/>
            <wp:effectExtent l="0" t="0" r="1905" b="6350"/>
            <wp:wrapTight wrapText="bothSides">
              <wp:wrapPolygon>
                <wp:start x="0" y="0"/>
                <wp:lineTo x="0" y="21567"/>
                <wp:lineTo x="21558" y="21567"/>
                <wp:lineTo x="21558" y="0"/>
                <wp:lineTo x="0" y="0"/>
              </wp:wrapPolygon>
            </wp:wrapTight>
            <wp:docPr id="6" name="图片 6" descr="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阿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 w:val="0"/>
        </w:rPr>
        <w:t>在省级非遗传承人阿七独支玛的摩梭人纺织工坊，工作组现场观摩了“达布”（摩梭女性）手工织布的全过程。阿七独支玛介绍，工坊采取“非遗传承+</w:t>
      </w:r>
      <w:r>
        <w:rPr>
          <w:rFonts w:hint="eastAsia"/>
          <w:i w:val="0"/>
          <w:lang w:val="en-US" w:eastAsia="zh-CN"/>
        </w:rPr>
        <w:t>联合高校培训</w:t>
      </w:r>
      <w:r>
        <w:rPr>
          <w:i w:val="0"/>
        </w:rPr>
        <w:t>+</w:t>
      </w:r>
      <w:r>
        <w:rPr>
          <w:rFonts w:hint="eastAsia"/>
          <w:i w:val="0"/>
          <w:lang w:val="en-US" w:eastAsia="zh-CN"/>
        </w:rPr>
        <w:t>自产自销</w:t>
      </w:r>
      <w:r>
        <w:rPr>
          <w:i w:val="0"/>
        </w:rPr>
        <w:t>”模式，累计培训当地妇女</w:t>
      </w:r>
      <w:r>
        <w:rPr>
          <w:rFonts w:hint="eastAsia"/>
          <w:i w:val="0"/>
          <w:lang w:val="en-US" w:eastAsia="zh-CN"/>
        </w:rPr>
        <w:t>50</w:t>
      </w:r>
      <w:r>
        <w:rPr>
          <w:i w:val="0"/>
        </w:rPr>
        <w:t>余人，带动</w:t>
      </w:r>
      <w:r>
        <w:rPr>
          <w:rFonts w:hint="eastAsia"/>
          <w:i w:val="0"/>
          <w:lang w:val="en-US" w:eastAsia="zh-CN"/>
        </w:rPr>
        <w:t>农</w:t>
      </w:r>
      <w:r>
        <w:rPr>
          <w:i w:val="0"/>
        </w:rPr>
        <w:t>户家庭通过手工纺织实现增收。工坊产品涵盖摩梭传统服饰、围巾、挂毯等，其中部分高端定制产品进入丽江旅游市场及电商平台。工作组详细记录了摩梭纺织技艺的12道核心工序，包括植物染料提取、经纬线编织技法等，并与阿七独支玛探讨如何通过短视频平台展示技艺细节，推动“非遗技艺可视化”传播。</w:t>
      </w:r>
    </w:p>
    <w:p w14:paraId="3FD1355A">
      <w:pPr>
        <w:pStyle w:val="3"/>
        <w:widowControl/>
        <w:numPr>
          <w:ilvl w:val="0"/>
          <w:numId w:val="2"/>
        </w:numPr>
        <w:overflowPunct w:val="0"/>
        <w:topLinePunct/>
        <w:autoSpaceDE/>
        <w:autoSpaceDN/>
        <w:snapToGrid/>
        <w:ind w:left="0" w:leftChars="0" w:firstLine="640" w:firstLineChars="0"/>
        <w:rPr>
          <w:b w:val="0"/>
        </w:rPr>
      </w:pPr>
      <w:r>
        <w:t>摩梭山泉新生产基地走访（4月10日下午）</w:t>
      </w:r>
    </w:p>
    <w:p w14:paraId="38E044DC">
      <w:pPr>
        <w:pStyle w:val="11"/>
        <w:widowControl/>
        <w:overflowPunct w:val="0"/>
        <w:topLinePunct/>
        <w:autoSpaceDE/>
        <w:autoSpaceDN/>
        <w:snapToGrid/>
        <w:rPr>
          <w:i w:val="0"/>
        </w:rPr>
      </w:pPr>
      <w:r>
        <w:rPr>
          <w:i w:val="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702945</wp:posOffset>
            </wp:positionV>
            <wp:extent cx="5611495" cy="4210050"/>
            <wp:effectExtent l="0" t="0" r="1905" b="6350"/>
            <wp:wrapTight wrapText="bothSides">
              <wp:wrapPolygon>
                <wp:start x="0" y="0"/>
                <wp:lineTo x="0" y="21567"/>
                <wp:lineTo x="21558" y="21567"/>
                <wp:lineTo x="21558" y="0"/>
                <wp:lineTo x="0" y="0"/>
              </wp:wrapPolygon>
            </wp:wrapTight>
            <wp:docPr id="5" name="图片 5" descr="摩梭山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摩梭山泉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 w:val="0"/>
        </w:rPr>
        <w:t>工作组实地参观摩梭山泉位于宁蒗</w:t>
      </w:r>
      <w:r>
        <w:rPr>
          <w:rFonts w:hint="eastAsia"/>
          <w:i w:val="0"/>
          <w:lang w:val="en-US" w:eastAsia="zh-CN"/>
        </w:rPr>
        <w:t>黄腊老村</w:t>
      </w:r>
      <w:r>
        <w:rPr>
          <w:i w:val="0"/>
        </w:rPr>
        <w:t>的新生产</w:t>
      </w:r>
      <w:r>
        <w:rPr>
          <w:rFonts w:hint="eastAsia"/>
          <w:i w:val="0"/>
          <w:lang w:val="en-US" w:eastAsia="zh-CN"/>
        </w:rPr>
        <w:t>基地</w:t>
      </w:r>
      <w:r>
        <w:rPr>
          <w:i w:val="0"/>
        </w:rPr>
        <w:t>，了解从水源地勘探（海拔3500米原始森林自涌水）、过滤净化到瓶装罐装的全流程。董事长蔡立军介绍，新基地产能较旧厂提升</w:t>
      </w:r>
      <w:r>
        <w:rPr>
          <w:rFonts w:hint="eastAsia"/>
          <w:i w:val="0"/>
          <w:lang w:val="en-US" w:eastAsia="zh-CN"/>
        </w:rPr>
        <w:t>显著</w:t>
      </w:r>
      <w:r>
        <w:rPr>
          <w:i w:val="0"/>
        </w:rPr>
        <w:t>。针对企业提出的水质检测频次、包装设计优化等问题，丽江西促会</w:t>
      </w:r>
      <w:r>
        <w:rPr>
          <w:rFonts w:hint="eastAsia"/>
          <w:i w:val="0"/>
          <w:lang w:val="en-US" w:eastAsia="zh-CN"/>
        </w:rPr>
        <w:t>对</w:t>
      </w:r>
      <w:r>
        <w:rPr>
          <w:i w:val="0"/>
        </w:rPr>
        <w:t>结合丽江“高原软水”矿物质含量低、口感清甜的特性，建议企业建立“水源地生态保护+全流程质量管控”双体系，定期发布水质检测报告，并探索与丽江文旅IP结合的包装设计，增强品牌辨识度。</w:t>
      </w:r>
    </w:p>
    <w:p w14:paraId="22D7CF9B">
      <w:pPr>
        <w:pStyle w:val="3"/>
        <w:widowControl/>
        <w:numPr>
          <w:ilvl w:val="0"/>
          <w:numId w:val="2"/>
        </w:numPr>
        <w:overflowPunct w:val="0"/>
        <w:topLinePunct/>
        <w:autoSpaceDE/>
        <w:autoSpaceDN/>
        <w:snapToGrid/>
        <w:ind w:left="0" w:leftChars="0" w:firstLine="640" w:firstLineChars="0"/>
        <w:rPr>
          <w:b w:val="0"/>
        </w:rPr>
      </w:pPr>
      <w:r>
        <w:t>县城摩梭非遗博物馆考察（4月11日上午）</w:t>
      </w:r>
    </w:p>
    <w:p w14:paraId="43BECAB7">
      <w:pPr>
        <w:pStyle w:val="11"/>
        <w:widowControl/>
        <w:overflowPunct w:val="0"/>
        <w:topLinePunct/>
        <w:autoSpaceDE/>
        <w:autoSpaceDN/>
        <w:snapToGrid/>
        <w:rPr>
          <w:i w:val="0"/>
        </w:rPr>
      </w:pPr>
      <w:r>
        <w:rPr>
          <w:i w:val="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2725420</wp:posOffset>
            </wp:positionV>
            <wp:extent cx="5611495" cy="4210050"/>
            <wp:effectExtent l="0" t="0" r="1905" b="6350"/>
            <wp:wrapTight wrapText="bothSides">
              <wp:wrapPolygon>
                <wp:start x="0" y="0"/>
                <wp:lineTo x="0" y="21567"/>
                <wp:lineTo x="21558" y="21567"/>
                <wp:lineTo x="21558" y="0"/>
                <wp:lineTo x="0" y="0"/>
              </wp:wrapPolygon>
            </wp:wrapTight>
            <wp:docPr id="4" name="图片 4" descr="非遗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非遗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 w:val="0"/>
        </w:rPr>
        <w:t>作为此次调研的收官站，工作组系统考察县城摩梭非遗博物馆的常设展厅，涵盖摩梭人历史沿革、生产生活、节庆礼仪、民间艺术等板块。馆内陈列的300余件非遗藏品中，包括国家级非遗项目“摩梭人甲搓舞”道具、省级非遗“摩梭人服饰”传承人作品等。工作组与博物馆负责人深入交流，了解当前非遗项目保护面临的传承人老龄化、年轻群体参与度低等问题，重点收集了“摩梭人转山节”“成丁礼”等民俗活动的影像资料，并建议通过“非遗进校园”“线上虚拟展厅”等形式扩大传播覆盖面，为后续策划“非遗保护与活化”专题报道提供方向。</w:t>
      </w:r>
    </w:p>
    <w:p w14:paraId="21512FB3">
      <w:pPr>
        <w:pStyle w:val="2"/>
        <w:widowControl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40" w:firstLineChars="0"/>
        <w:rPr>
          <w:b w:val="0"/>
        </w:rPr>
      </w:pPr>
      <w:r>
        <w:t>调研成效与后续安排</w:t>
      </w:r>
    </w:p>
    <w:p w14:paraId="1E79D45B">
      <w:pPr>
        <w:pStyle w:val="11"/>
        <w:widowControl/>
        <w:overflowPunct w:val="0"/>
        <w:topLinePunct/>
        <w:autoSpaceDE/>
        <w:autoSpaceDN/>
        <w:snapToGrid/>
        <w:rPr>
          <w:i w:val="0"/>
        </w:rPr>
      </w:pPr>
      <w:r>
        <w:rPr>
          <w:i w:val="0"/>
        </w:rPr>
        <w:t>此次调研活动，覆盖宁蒗县“特色农业产业化、非遗技艺活态传承、民族企业品牌建设”三大主题。下一步，丽江西促会将联合丽江融媒体中心，按照“一企（项目）一专题”原则，通过《丽江日报》专版、丽江电视台纪录片、“丽江融媒”视频号系列短视频等形式，分阶段推出报道，重点突出各调研对象的独特价值与发展经验，切实发挥“西部之光・丽江篇章”项目的宣传赋能作用。</w:t>
      </w:r>
    </w:p>
    <w:p w14:paraId="4B3C5532">
      <w:pPr>
        <w:overflowPunct w:val="0"/>
        <w:topLinePunct/>
        <w:autoSpaceDE/>
        <w:autoSpaceDN/>
        <w:snapToGrid/>
      </w:pPr>
    </w:p>
    <mc:AlternateContent>
      <mc:Choice Requires="wpsCustomData">
        <wpsCustomData:docfieldEnd id="1"/>
      </mc:Choice>
    </mc:AlternateContent>
    <w:p w14:paraId="2E824D31">
      <w:pPr>
        <w:pStyle w:val="11"/>
        <w:overflowPunct w:val="0"/>
        <w:topLinePunct/>
        <w:autoSpaceDE/>
        <w:autoSpaceDN/>
        <w:bidi w:val="0"/>
        <w:snapToGrid/>
        <w:rPr>
          <w:rFonts w:hint="eastAsia"/>
          <w:lang w:val="en-US" w:eastAsia="zh-CN"/>
        </w:rPr>
      </w:pPr>
    </w:p>
    <w:p w14:paraId="47AEFD8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textAlignment w:val="auto"/>
        <w:rPr>
          <w:rFonts w:hint="default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962" w:right="1474" w:bottom="1848" w:left="1587" w:header="851" w:footer="992" w:gutter="0"/>
      <w:pgNumType w:fmt="decimal"/>
      <w:cols w:space="425" w:num="1"/>
      <w:docGrid w:type="linesAndChars" w:linePitch="592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CD6E2">
    <w:pPr>
      <w:tabs>
        <w:tab w:val="center" w:pos="4153"/>
        <w:tab w:val="right" w:pos="8306"/>
      </w:tabs>
      <w:jc w:val="right"/>
      <w:rPr>
        <w:rFonts w:hint="eastAsia" w:ascii="Times New Roman" w:eastAsia="仿宋_GB2312"/>
        <w:sz w:val="32"/>
        <w:lang w:eastAsia="zh-CN"/>
      </w:rPr>
    </w:pPr>
    <w:r>
      <w:rPr>
        <w:rFonts w:hint="eastAsia" w:ascii="Times New Roman" w:eastAsia="仿宋_GB2312"/>
        <w:sz w:val="32"/>
        <w:lang w:eastAsia="zh-CN"/>
      </w:rPr>
      <w:t>—</w:t>
    </w:r>
    <w:r>
      <w:rPr>
        <w:rFonts w:hint="eastAsia" w:ascii="Times New Roman" w:eastAsia="仿宋_GB2312"/>
        <w:sz w:val="32"/>
        <w:lang w:eastAsia="zh-CN"/>
      </w:rPr>
      <w:fldChar w:fldCharType="begin"/>
    </w:r>
    <w:r>
      <w:rPr>
        <w:rFonts w:hint="eastAsia" w:ascii="Times New Roman" w:eastAsia="仿宋_GB2312"/>
        <w:sz w:val="32"/>
        <w:lang w:eastAsia="zh-CN"/>
      </w:rPr>
      <w:instrText xml:space="preserve"> PAGE \* MERGEFORMAT </w:instrText>
    </w:r>
    <w:r>
      <w:rPr>
        <w:rFonts w:hint="eastAsia" w:ascii="Times New Roman" w:eastAsia="仿宋_GB2312"/>
        <w:sz w:val="32"/>
        <w:lang w:eastAsia="zh-CN"/>
      </w:rPr>
      <w:fldChar w:fldCharType="separate"/>
    </w:r>
    <w:r>
      <w:rPr>
        <w:rFonts w:hint="eastAsia" w:ascii="Times New Roman" w:eastAsia="仿宋_GB2312"/>
        <w:sz w:val="32"/>
        <w:lang w:eastAsia="zh-CN"/>
      </w:rPr>
      <w:t>1</w:t>
    </w:r>
    <w:r>
      <w:rPr>
        <w:rFonts w:hint="eastAsia" w:ascii="Times New Roman" w:eastAsia="仿宋_GB2312"/>
        <w:sz w:val="32"/>
        <w:lang w:eastAsia="zh-CN"/>
      </w:rPr>
      <w:fldChar w:fldCharType="end"/>
    </w:r>
    <w:r>
      <w:rPr>
        <w:rFonts w:hint="eastAsia" w:ascii="Times New Roman" w:eastAsia="仿宋_GB2312"/>
        <w:sz w:val="32"/>
        <w:lang w:eastAsia="zh-CN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DE7A2">
    <w:pPr>
      <w:tabs>
        <w:tab w:val="center" w:pos="4153"/>
        <w:tab w:val="right" w:pos="8306"/>
      </w:tabs>
      <w:jc w:val="left"/>
      <w:rPr>
        <w:rFonts w:hint="default" w:ascii="Times New Roman" w:eastAsia="仿宋_GB2312"/>
        <w:sz w:val="32"/>
        <w:lang w:val="en-US" w:eastAsia="zh-CN"/>
      </w:rPr>
    </w:pPr>
    <w:r>
      <w:rPr>
        <w:rFonts w:hint="eastAsia" w:ascii="Times New Roman" w:eastAsia="仿宋_GB2312"/>
        <w:sz w:val="32"/>
        <w:lang w:eastAsia="zh-CN"/>
      </w:rPr>
      <w:t>—</w:t>
    </w:r>
    <w:r>
      <w:rPr>
        <w:rFonts w:hint="eastAsia" w:ascii="Times New Roman" w:eastAsia="仿宋_GB2312"/>
        <w:sz w:val="32"/>
        <w:lang w:eastAsia="zh-CN"/>
      </w:rPr>
      <w:fldChar w:fldCharType="begin"/>
    </w:r>
    <w:r>
      <w:rPr>
        <w:rFonts w:hint="eastAsia" w:ascii="Times New Roman" w:eastAsia="仿宋_GB2312"/>
        <w:sz w:val="32"/>
        <w:lang w:eastAsia="zh-CN"/>
      </w:rPr>
      <w:instrText xml:space="preserve"> PAGE \* MERGEFORMAT </w:instrText>
    </w:r>
    <w:r>
      <w:rPr>
        <w:rFonts w:hint="eastAsia" w:ascii="Times New Roman" w:eastAsia="仿宋_GB2312"/>
        <w:sz w:val="32"/>
        <w:lang w:eastAsia="zh-CN"/>
      </w:rPr>
      <w:fldChar w:fldCharType="separate"/>
    </w:r>
    <w:r>
      <w:rPr>
        <w:rFonts w:hint="eastAsia" w:ascii="Times New Roman" w:eastAsia="仿宋_GB2312"/>
        <w:sz w:val="32"/>
        <w:lang w:eastAsia="zh-CN"/>
      </w:rPr>
      <w:t>1</w:t>
    </w:r>
    <w:r>
      <w:rPr>
        <w:rFonts w:hint="eastAsia" w:ascii="Times New Roman" w:eastAsia="仿宋_GB2312"/>
        <w:sz w:val="32"/>
        <w:lang w:eastAsia="zh-CN"/>
      </w:rPr>
      <w:fldChar w:fldCharType="end"/>
    </w:r>
    <w:r>
      <w:rPr>
        <w:rFonts w:hint="eastAsia" w:ascii="Times New Roman" w:eastAsia="仿宋_GB2312"/>
        <w:sz w:val="32"/>
        <w:lang w:eastAsia="zh-CN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C6867"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49ED6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C0998F"/>
    <w:multiLevelType w:val="singleLevel"/>
    <w:tmpl w:val="A9C0998F"/>
    <w:lvl w:ilvl="0" w:tentative="0">
      <w:start w:val="1"/>
      <w:numFmt w:val="chineseCounting"/>
      <w:suff w:val="nothing"/>
      <w:lvlText w:val="（%1）"/>
      <w:lvlJc w:val="left"/>
      <w:pPr>
        <w:ind w:left="0" w:firstLine="640"/>
      </w:pPr>
      <w:rPr>
        <w:rFonts w:hint="eastAsia"/>
      </w:rPr>
    </w:lvl>
  </w:abstractNum>
  <w:abstractNum w:abstractNumId="1">
    <w:nsid w:val="E32EC255"/>
    <w:multiLevelType w:val="singleLevel"/>
    <w:tmpl w:val="E32EC255"/>
    <w:lvl w:ilvl="0" w:tentative="0">
      <w:start w:val="1"/>
      <w:numFmt w:val="chineseCounting"/>
      <w:suff w:val="nothing"/>
      <w:lvlText w:val="%1、"/>
      <w:lvlJc w:val="left"/>
      <w:pPr>
        <w:ind w:left="0" w:firstLine="64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637DF7"/>
    <w:rsid w:val="2210092B"/>
    <w:rsid w:val="2DAE7913"/>
    <w:rsid w:val="63AB3CC0"/>
    <w:rsid w:val="690C53EF"/>
    <w:rsid w:val="723E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topLinePunct/>
      <w:jc w:val="both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0"/>
    </w:pPr>
    <w:rPr>
      <w:rFonts w:ascii="Times New Roman" w:hAnsi="Times New Roman" w:eastAsia="黑体" w:cs="Times New Roman"/>
      <w:kern w:val="44"/>
      <w:sz w:val="32"/>
      <w:szCs w:val="32"/>
      <w:lang w:bidi="ar-SA"/>
    </w:rPr>
  </w:style>
  <w:style w:type="paragraph" w:styleId="3">
    <w:name w:val="heading 2"/>
    <w:next w:val="1"/>
    <w:unhideWhenUsed/>
    <w:qFormat/>
    <w:uiPriority w:val="0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1"/>
    </w:pPr>
    <w:rPr>
      <w:rFonts w:ascii="Times New Roman" w:hAnsi="Times New Roman" w:eastAsia="楷体" w:cs="Times New Roman"/>
      <w:kern w:val="2"/>
      <w:sz w:val="32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2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3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4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5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6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7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8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overflowPunct w:val="0"/>
      <w:topLinePunct/>
      <w:spacing w:afterLines="0" w:afterAutospacing="0"/>
      <w:ind w:firstLine="632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Subtitle"/>
    <w:qFormat/>
    <w:uiPriority w:val="0"/>
    <w:pPr>
      <w:widowControl w:val="0"/>
      <w:overflowPunct w:val="0"/>
      <w:topLinePunct/>
      <w:spacing w:beforeLines="0" w:beforeAutospacing="0" w:afterLines="0" w:afterAutospacing="0" w:line="240" w:lineRule="auto"/>
      <w:jc w:val="center"/>
      <w:outlineLvl w:val="9"/>
    </w:pPr>
    <w:rPr>
      <w:rFonts w:ascii="Times New Roman" w:hAnsi="Times New Roman" w:eastAsia="方正小标宋_GBK" w:cs="Times New Roman"/>
      <w:kern w:val="28"/>
      <w:sz w:val="32"/>
      <w:szCs w:val="32"/>
      <w:lang w:bidi="ar-SA"/>
    </w:rPr>
  </w:style>
  <w:style w:type="paragraph" w:styleId="14">
    <w:name w:val="Title"/>
    <w:qFormat/>
    <w:uiPriority w:val="0"/>
    <w:pPr>
      <w:widowControl w:val="0"/>
      <w:overflowPunct w:val="0"/>
      <w:topLinePunct/>
      <w:spacing w:beforeLines="0" w:beforeAutospacing="0" w:afterLines="0" w:afterAutospacing="0"/>
      <w:jc w:val="center"/>
      <w:outlineLvl w:val="9"/>
    </w:pPr>
    <w:rPr>
      <w:rFonts w:ascii="Times New Roman" w:hAnsi="Times New Roman" w:eastAsia="方正小标宋_GBK" w:cs="Times New Roman"/>
      <w:kern w:val="2"/>
      <w:sz w:val="44"/>
      <w:szCs w:val="3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1902</Words>
  <Characters>1931</Characters>
  <Lines>0</Lines>
  <Paragraphs>0</Paragraphs>
  <TotalTime>0</TotalTime>
  <ScaleCrop>false</ScaleCrop>
  <LinksUpToDate>false</LinksUpToDate>
  <CharactersWithSpaces>1931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2025-04-11T03:23:00Z</dcterms:created>
  <dc:creator>admin</dc:creator>
  <cp:lastModifiedBy>博悟天通</cp:lastModifiedBy>
  <dcterms:modified xsi:type="dcterms:W3CDTF">2026-07-13T08:42:57Z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eyJoZGlkIjoiNzNhZjFhODFkZWJjOGNlMTBhZDMxZDVkZWJmODc0ZTEiLCJ1c2VySWQiOiIxNDY0NjI4MTcwIn0=</vt:lpwstr>
  </property>
  <property fmtid="{D5CDD505-2E9C-101B-9397-08002B2CF9AE}" pid="4" name="ICV">
    <vt:lpwstr>323972247F5946918E4760B13C51B53C_12</vt:lpwstr>
  </property>
</Properties>
</file>